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646C7">
      <w:pPr>
        <w:widowControl/>
        <w:spacing w:line="560" w:lineRule="exact"/>
        <w:jc w:val="center"/>
        <w:rPr>
          <w:rFonts w:ascii="方正小标宋简体" w:eastAsia="方正小标宋简体"/>
          <w:sz w:val="44"/>
          <w:szCs w:val="44"/>
        </w:rPr>
      </w:pPr>
    </w:p>
    <w:p w14:paraId="634D8370">
      <w:pPr>
        <w:widowControl/>
        <w:spacing w:line="560" w:lineRule="exact"/>
        <w:jc w:val="center"/>
        <w:rPr>
          <w:rFonts w:ascii="方正小标宋简体" w:eastAsia="方正小标宋简体"/>
          <w:sz w:val="44"/>
          <w:szCs w:val="44"/>
        </w:rPr>
      </w:pPr>
    </w:p>
    <w:p w14:paraId="3569BA28">
      <w:pPr>
        <w:widowControl/>
        <w:spacing w:line="560" w:lineRule="exact"/>
        <w:jc w:val="center"/>
        <w:rPr>
          <w:rFonts w:ascii="方正小标宋简体" w:eastAsia="方正小标宋简体"/>
          <w:sz w:val="44"/>
          <w:szCs w:val="44"/>
        </w:rPr>
      </w:pPr>
    </w:p>
    <w:p w14:paraId="4AF67FF8">
      <w:pPr>
        <w:widowControl/>
        <w:spacing w:line="560" w:lineRule="exact"/>
        <w:jc w:val="center"/>
        <w:rPr>
          <w:rFonts w:ascii="方正小标宋简体" w:eastAsia="方正小标宋简体"/>
          <w:sz w:val="44"/>
          <w:szCs w:val="44"/>
        </w:rPr>
      </w:pPr>
    </w:p>
    <w:p w14:paraId="218E0F8F">
      <w:pPr>
        <w:widowControl/>
        <w:spacing w:line="560" w:lineRule="exact"/>
        <w:jc w:val="center"/>
        <w:rPr>
          <w:rFonts w:ascii="方正小标宋简体" w:eastAsia="方正小标宋简体"/>
          <w:sz w:val="44"/>
          <w:szCs w:val="44"/>
        </w:rPr>
      </w:pPr>
    </w:p>
    <w:p w14:paraId="20F48511">
      <w:pPr>
        <w:widowControl/>
        <w:spacing w:line="560" w:lineRule="exact"/>
        <w:jc w:val="center"/>
        <w:rPr>
          <w:rFonts w:ascii="方正小标宋简体" w:eastAsia="方正小标宋简体"/>
          <w:sz w:val="44"/>
          <w:szCs w:val="44"/>
        </w:rPr>
      </w:pPr>
    </w:p>
    <w:p w14:paraId="3588C74C">
      <w:pPr>
        <w:widowControl/>
        <w:spacing w:line="560" w:lineRule="exact"/>
        <w:jc w:val="center"/>
        <w:rPr>
          <w:rFonts w:ascii="方正小标宋简体" w:eastAsia="方正小标宋简体"/>
          <w:sz w:val="44"/>
          <w:szCs w:val="44"/>
        </w:rPr>
      </w:pPr>
      <w:r>
        <w:rPr>
          <w:rFonts w:hint="eastAsia" w:ascii="方正小标宋简体" w:eastAsia="方正小标宋简体"/>
          <w:sz w:val="44"/>
          <w:szCs w:val="44"/>
        </w:rPr>
        <w:t>华安经济开发区福建卓逸窗饰有限公司</w:t>
      </w:r>
    </w:p>
    <w:p w14:paraId="2F80D83E">
      <w:pPr>
        <w:widowControl/>
        <w:spacing w:line="560" w:lineRule="exact"/>
        <w:jc w:val="center"/>
        <w:rPr>
          <w:rFonts w:ascii="方正小标宋简体" w:eastAsia="方正小标宋简体"/>
          <w:sz w:val="44"/>
          <w:szCs w:val="44"/>
        </w:rPr>
      </w:pPr>
      <w:r>
        <w:rPr>
          <w:rFonts w:hint="eastAsia" w:ascii="方正小标宋简体" w:eastAsia="方正小标宋简体"/>
          <w:sz w:val="44"/>
          <w:szCs w:val="44"/>
        </w:rPr>
        <w:t>“6·21”一般高处坠落事故调查报告</w:t>
      </w:r>
    </w:p>
    <w:p w14:paraId="4FCB6BD0">
      <w:pPr>
        <w:widowControl/>
        <w:spacing w:line="560" w:lineRule="exact"/>
        <w:jc w:val="center"/>
        <w:rPr>
          <w:rFonts w:ascii="方正小标宋_GBK" w:eastAsia="方正小标宋_GBK"/>
          <w:sz w:val="44"/>
        </w:rPr>
      </w:pPr>
    </w:p>
    <w:p w14:paraId="6FF4806E">
      <w:pPr>
        <w:widowControl/>
        <w:spacing w:line="560" w:lineRule="exact"/>
        <w:jc w:val="center"/>
        <w:rPr>
          <w:rFonts w:ascii="方正小标宋_GBK" w:eastAsia="方正小标宋_GBK"/>
          <w:sz w:val="44"/>
        </w:rPr>
      </w:pPr>
    </w:p>
    <w:p w14:paraId="0F9AFDED">
      <w:pPr>
        <w:widowControl/>
        <w:spacing w:line="560" w:lineRule="exact"/>
        <w:jc w:val="center"/>
        <w:rPr>
          <w:rFonts w:ascii="方正小标宋_GBK" w:eastAsia="方正小标宋_GBK"/>
          <w:sz w:val="44"/>
        </w:rPr>
      </w:pPr>
    </w:p>
    <w:p w14:paraId="11F68260">
      <w:pPr>
        <w:widowControl/>
        <w:spacing w:line="560" w:lineRule="exact"/>
        <w:jc w:val="center"/>
        <w:rPr>
          <w:rFonts w:ascii="方正小标宋_GBK" w:eastAsia="方正小标宋_GBK"/>
          <w:sz w:val="44"/>
        </w:rPr>
      </w:pPr>
    </w:p>
    <w:p w14:paraId="03E54918">
      <w:pPr>
        <w:widowControl/>
        <w:spacing w:line="560" w:lineRule="exact"/>
        <w:jc w:val="center"/>
        <w:rPr>
          <w:rFonts w:ascii="方正小标宋_GBK" w:eastAsia="方正小标宋_GBK"/>
          <w:sz w:val="44"/>
        </w:rPr>
      </w:pPr>
    </w:p>
    <w:p w14:paraId="3C99248B">
      <w:pPr>
        <w:widowControl/>
        <w:spacing w:line="560" w:lineRule="exact"/>
        <w:jc w:val="center"/>
        <w:rPr>
          <w:rFonts w:ascii="方正小标宋_GBK" w:eastAsia="方正小标宋_GBK"/>
          <w:sz w:val="44"/>
        </w:rPr>
      </w:pPr>
    </w:p>
    <w:p w14:paraId="1ED54E1B">
      <w:pPr>
        <w:widowControl/>
        <w:spacing w:line="560" w:lineRule="exact"/>
        <w:jc w:val="center"/>
        <w:rPr>
          <w:rFonts w:ascii="方正小标宋_GBK" w:eastAsia="方正小标宋_GBK"/>
          <w:sz w:val="44"/>
        </w:rPr>
      </w:pPr>
    </w:p>
    <w:p w14:paraId="661A8F0B">
      <w:pPr>
        <w:widowControl/>
        <w:spacing w:line="560" w:lineRule="exact"/>
        <w:jc w:val="center"/>
        <w:rPr>
          <w:rFonts w:ascii="方正小标宋_GBK" w:eastAsia="方正小标宋_GBK"/>
          <w:sz w:val="44"/>
        </w:rPr>
      </w:pPr>
    </w:p>
    <w:p w14:paraId="7F69BCBF">
      <w:pPr>
        <w:widowControl/>
        <w:spacing w:line="560" w:lineRule="exact"/>
        <w:jc w:val="center"/>
        <w:rPr>
          <w:rFonts w:ascii="方正小标宋_GBK" w:eastAsia="方正小标宋_GBK"/>
          <w:sz w:val="44"/>
        </w:rPr>
      </w:pPr>
    </w:p>
    <w:p w14:paraId="2FC12CD7">
      <w:pPr>
        <w:widowControl/>
        <w:spacing w:line="560" w:lineRule="exact"/>
        <w:jc w:val="center"/>
        <w:rPr>
          <w:rFonts w:ascii="方正小标宋_GBK" w:eastAsia="方正小标宋_GBK"/>
          <w:sz w:val="44"/>
        </w:rPr>
      </w:pPr>
    </w:p>
    <w:p w14:paraId="33F1F307">
      <w:pPr>
        <w:widowControl/>
        <w:spacing w:line="560" w:lineRule="exact"/>
        <w:jc w:val="center"/>
        <w:rPr>
          <w:rFonts w:ascii="方正小标宋_GBK" w:eastAsia="方正小标宋_GBK"/>
          <w:sz w:val="44"/>
        </w:rPr>
      </w:pPr>
    </w:p>
    <w:p w14:paraId="3F15AA76">
      <w:pPr>
        <w:widowControl/>
        <w:spacing w:line="560" w:lineRule="exact"/>
        <w:jc w:val="center"/>
        <w:rPr>
          <w:rFonts w:ascii="方正小标宋_GBK" w:eastAsia="方正小标宋_GBK"/>
          <w:sz w:val="44"/>
        </w:rPr>
      </w:pPr>
    </w:p>
    <w:p w14:paraId="1A0D5B56">
      <w:pPr>
        <w:widowControl/>
        <w:spacing w:line="560" w:lineRule="exact"/>
        <w:jc w:val="center"/>
        <w:rPr>
          <w:rFonts w:ascii="方正小标宋简体" w:hAnsi="黑体" w:eastAsia="方正小标宋简体"/>
          <w:sz w:val="32"/>
          <w:szCs w:val="32"/>
        </w:rPr>
      </w:pPr>
      <w:r>
        <w:rPr>
          <w:rFonts w:hint="eastAsia" w:ascii="方正小标宋简体" w:hAnsi="黑体" w:eastAsia="方正小标宋简体"/>
          <w:sz w:val="32"/>
          <w:szCs w:val="32"/>
        </w:rPr>
        <w:t>华安县政府事故调查组</w:t>
      </w:r>
    </w:p>
    <w:p w14:paraId="27E903FE">
      <w:pPr>
        <w:widowControl/>
        <w:spacing w:line="560" w:lineRule="exact"/>
        <w:jc w:val="center"/>
        <w:rPr>
          <w:rFonts w:ascii="方正小标宋简体" w:hAnsi="黑体" w:eastAsia="方正小标宋简体"/>
          <w:sz w:val="32"/>
          <w:szCs w:val="32"/>
        </w:rPr>
      </w:pPr>
      <w:r>
        <w:rPr>
          <w:rFonts w:hint="eastAsia" w:ascii="方正小标宋简体" w:hAnsi="黑体" w:eastAsia="方正小标宋简体"/>
          <w:sz w:val="32"/>
          <w:szCs w:val="32"/>
        </w:rPr>
        <w:t>2024年8月13日</w:t>
      </w:r>
    </w:p>
    <w:p w14:paraId="4ECF082E">
      <w:pPr>
        <w:widowControl/>
        <w:spacing w:line="560" w:lineRule="exact"/>
        <w:jc w:val="left"/>
        <w:rPr>
          <w:rFonts w:ascii="方正小标宋_GBK" w:eastAsia="方正小标宋_GBK"/>
          <w:sz w:val="44"/>
        </w:rPr>
      </w:pPr>
      <w:r>
        <w:rPr>
          <w:rFonts w:ascii="方正小标宋_GBK" w:eastAsia="方正小标宋_GBK"/>
          <w:sz w:val="44"/>
        </w:rPr>
        <w:br w:type="page"/>
      </w:r>
    </w:p>
    <w:sdt>
      <w:sdtPr>
        <w:rPr>
          <w:rFonts w:ascii="Times New Roman" w:hAnsi="Times New Roman" w:eastAsia="宋体" w:cs="Times New Roman"/>
          <w:b w:val="0"/>
          <w:bCs w:val="0"/>
          <w:color w:val="auto"/>
          <w:kern w:val="2"/>
          <w:sz w:val="21"/>
          <w:szCs w:val="24"/>
          <w:lang w:val="zh-CN"/>
        </w:rPr>
        <w:id w:val="19576129"/>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14:paraId="0C4B6EC7">
          <w:pPr>
            <w:pStyle w:val="16"/>
            <w:spacing w:before="0" w:line="300" w:lineRule="auto"/>
            <w:jc w:val="center"/>
            <w:rPr>
              <w:rFonts w:asciiTheme="minorEastAsia" w:hAnsiTheme="minorEastAsia" w:eastAsiaTheme="minorEastAsia"/>
              <w:sz w:val="32"/>
              <w:szCs w:val="32"/>
            </w:rPr>
          </w:pPr>
          <w:r>
            <w:rPr>
              <w:rFonts w:hint="eastAsia" w:asciiTheme="minorEastAsia" w:hAnsiTheme="minorEastAsia" w:eastAsiaTheme="minorEastAsia"/>
              <w:color w:val="auto"/>
              <w:sz w:val="32"/>
              <w:szCs w:val="32"/>
              <w:lang w:val="zh-CN"/>
            </w:rPr>
            <w:t>目录</w:t>
          </w:r>
        </w:p>
        <w:p w14:paraId="57784B90">
          <w:pPr>
            <w:pStyle w:val="6"/>
            <w:tabs>
              <w:tab w:val="right" w:leader="dot" w:pos="8834"/>
            </w:tabs>
            <w:spacing w:line="300" w:lineRule="auto"/>
            <w:rPr>
              <w:rFonts w:asciiTheme="minorHAnsi" w:hAnsiTheme="minorHAnsi" w:eastAsiaTheme="minorEastAsia" w:cstheme="minorBidi"/>
              <w:szCs w:val="22"/>
            </w:rPr>
          </w:pPr>
          <w:r>
            <w:fldChar w:fldCharType="begin"/>
          </w:r>
          <w:r>
            <w:instrText xml:space="preserve"> TOC \o "1-3" \h \z \u </w:instrText>
          </w:r>
          <w:r>
            <w:fldChar w:fldCharType="separate"/>
          </w:r>
          <w:r>
            <w:fldChar w:fldCharType="begin"/>
          </w:r>
          <w:r>
            <w:instrText xml:space="preserve"> HYPERLINK \l "_Toc173918686" </w:instrText>
          </w:r>
          <w:r>
            <w:fldChar w:fldCharType="separate"/>
          </w:r>
          <w:r>
            <w:rPr>
              <w:rStyle w:val="13"/>
              <w:rFonts w:hint="eastAsia" w:ascii="黑体" w:hAnsi="黑体" w:eastAsia="黑体"/>
              <w:sz w:val="24"/>
            </w:rPr>
            <w:t>一、事故基本情况</w:t>
          </w:r>
          <w:r>
            <w:tab/>
          </w:r>
          <w:r>
            <w:fldChar w:fldCharType="begin"/>
          </w:r>
          <w:r>
            <w:instrText xml:space="preserve"> PAGEREF _Toc173918686 \h </w:instrText>
          </w:r>
          <w:r>
            <w:fldChar w:fldCharType="separate"/>
          </w:r>
          <w:r>
            <w:t>1</w:t>
          </w:r>
          <w:r>
            <w:fldChar w:fldCharType="end"/>
          </w:r>
          <w:r>
            <w:fldChar w:fldCharType="end"/>
          </w:r>
        </w:p>
        <w:p w14:paraId="669A5A76">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"_Toc173918687" </w:instrText>
          </w:r>
          <w:r>
            <w:fldChar w:fldCharType="separate"/>
          </w:r>
          <w:r>
            <w:rPr>
              <w:rStyle w:val="13"/>
              <w:rFonts w:hint="eastAsia" w:ascii="宋体" w:hAnsi="宋体"/>
              <w:sz w:val="24"/>
            </w:rPr>
            <w:t>（一）事故发生单位概况</w:t>
          </w:r>
          <w:r>
            <w:tab/>
          </w:r>
          <w:r>
            <w:fldChar w:fldCharType="begin"/>
          </w:r>
          <w:r>
            <w:instrText xml:space="preserve"> PAGEREF _Toc173918687 \h </w:instrText>
          </w:r>
          <w:r>
            <w:fldChar w:fldCharType="separate"/>
          </w:r>
          <w:r>
            <w:t>1</w:t>
          </w:r>
          <w:r>
            <w:fldChar w:fldCharType="end"/>
          </w:r>
          <w:r>
            <w:fldChar w:fldCharType="end"/>
          </w:r>
        </w:p>
        <w:p w14:paraId="3B1227D3">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"_Toc173918688" </w:instrText>
          </w:r>
          <w:r>
            <w:fldChar w:fldCharType="separate"/>
          </w:r>
          <w:r>
            <w:rPr>
              <w:rStyle w:val="13"/>
              <w:rFonts w:hint="eastAsia" w:ascii="宋体" w:hAnsi="宋体"/>
              <w:sz w:val="24"/>
            </w:rPr>
            <w:t>（二）事故发生单位安全管理情况</w:t>
          </w:r>
          <w:r>
            <w:tab/>
          </w:r>
          <w:r>
            <w:fldChar w:fldCharType="begin"/>
          </w:r>
          <w:r>
            <w:instrText xml:space="preserve"> PAGEREF _Toc173918688 \h </w:instrText>
          </w:r>
          <w:r>
            <w:fldChar w:fldCharType="separate"/>
          </w:r>
          <w:r>
            <w:t>3</w:t>
          </w:r>
          <w:r>
            <w:fldChar w:fldCharType="end"/>
          </w:r>
          <w:r>
            <w:fldChar w:fldCharType="end"/>
          </w:r>
        </w:p>
        <w:p w14:paraId="380CB8D7">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"_Toc173918689" </w:instrText>
          </w:r>
          <w:r>
            <w:fldChar w:fldCharType="separate"/>
          </w:r>
          <w:r>
            <w:rPr>
              <w:rStyle w:val="13"/>
              <w:rFonts w:hint="eastAsia" w:ascii="宋体" w:hAnsi="宋体"/>
              <w:sz w:val="24"/>
            </w:rPr>
            <w:t>（三）事故发生经过</w:t>
          </w:r>
          <w:r>
            <w:tab/>
          </w:r>
          <w:r>
            <w:fldChar w:fldCharType="begin"/>
          </w:r>
          <w:r>
            <w:instrText xml:space="preserve"> PAGEREF _Toc173918689 \h </w:instrText>
          </w:r>
          <w:r>
            <w:fldChar w:fldCharType="separate"/>
          </w:r>
          <w:r>
            <w:t>5</w:t>
          </w:r>
          <w:r>
            <w:fldChar w:fldCharType="end"/>
          </w:r>
          <w:r>
            <w:fldChar w:fldCharType="end"/>
          </w:r>
        </w:p>
        <w:p w14:paraId="62B5F0BC">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"_Toc173918690" </w:instrText>
          </w:r>
          <w:r>
            <w:fldChar w:fldCharType="separate"/>
          </w:r>
          <w:r>
            <w:rPr>
              <w:rStyle w:val="13"/>
              <w:rFonts w:hint="eastAsia" w:ascii="宋体" w:hAnsi="宋体"/>
              <w:sz w:val="24"/>
            </w:rPr>
            <w:t>（四）事故现场情况</w:t>
          </w:r>
          <w:r>
            <w:tab/>
          </w:r>
          <w:r>
            <w:fldChar w:fldCharType="begin"/>
          </w:r>
          <w:r>
            <w:instrText xml:space="preserve"> PAGEREF _Toc173918690 \h </w:instrText>
          </w:r>
          <w:r>
            <w:fldChar w:fldCharType="separate"/>
          </w:r>
          <w:r>
            <w:t>5</w:t>
          </w:r>
          <w:r>
            <w:fldChar w:fldCharType="end"/>
          </w:r>
          <w:r>
            <w:fldChar w:fldCharType="end"/>
          </w:r>
        </w:p>
        <w:p w14:paraId="0631CEDF">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"_Toc173918691" </w:instrText>
          </w:r>
          <w:r>
            <w:fldChar w:fldCharType="separate"/>
          </w:r>
          <w:r>
            <w:rPr>
              <w:rStyle w:val="13"/>
              <w:rFonts w:hint="eastAsia" w:ascii="宋体" w:hAnsi="宋体"/>
              <w:sz w:val="24"/>
            </w:rPr>
            <w:t>（五）人员伤亡和直接经济损失情况</w:t>
          </w:r>
          <w:r>
            <w:tab/>
          </w:r>
          <w:r>
            <w:fldChar w:fldCharType="begin"/>
          </w:r>
          <w:r>
            <w:instrText xml:space="preserve"> PAGEREF _Toc173918691 \h </w:instrText>
          </w:r>
          <w:r>
            <w:fldChar w:fldCharType="separate"/>
          </w:r>
          <w:r>
            <w:t>9</w:t>
          </w:r>
          <w:r>
            <w:fldChar w:fldCharType="end"/>
          </w:r>
          <w:r>
            <w:fldChar w:fldCharType="end"/>
          </w:r>
        </w:p>
        <w:p w14:paraId="1683761D">
          <w:pPr>
            <w:pStyle w:val="6"/>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"_Toc173918692" </w:instrText>
          </w:r>
          <w:r>
            <w:fldChar w:fldCharType="separate"/>
          </w:r>
          <w:r>
            <w:rPr>
              <w:rStyle w:val="13"/>
              <w:rFonts w:hint="eastAsia" w:ascii="黑体" w:hAnsi="黑体" w:eastAsia="黑体"/>
              <w:sz w:val="24"/>
            </w:rPr>
            <w:t>二、事故应急处置及评估情况</w:t>
          </w:r>
          <w:r>
            <w:tab/>
          </w:r>
          <w:r>
            <w:fldChar w:fldCharType="begin"/>
          </w:r>
          <w:r>
            <w:instrText xml:space="preserve"> PAGEREF _Toc173918692 \h </w:instrText>
          </w:r>
          <w:r>
            <w:fldChar w:fldCharType="separate"/>
          </w:r>
          <w:r>
            <w:t>9</w:t>
          </w:r>
          <w:r>
            <w:fldChar w:fldCharType="end"/>
          </w:r>
          <w:r>
            <w:fldChar w:fldCharType="end"/>
          </w:r>
        </w:p>
        <w:p w14:paraId="2E554801">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"_Toc173918693" </w:instrText>
          </w:r>
          <w:r>
            <w:fldChar w:fldCharType="separate"/>
          </w:r>
          <w:r>
            <w:rPr>
              <w:rStyle w:val="13"/>
              <w:rFonts w:hint="eastAsia" w:ascii="宋体" w:hAnsi="宋体"/>
              <w:sz w:val="24"/>
            </w:rPr>
            <w:t>（一）事故信息接报及响应情况</w:t>
          </w:r>
          <w:r>
            <w:tab/>
          </w:r>
          <w:r>
            <w:fldChar w:fldCharType="begin"/>
          </w:r>
          <w:r>
            <w:instrText xml:space="preserve"> PAGEREF _Toc173918693 \h </w:instrText>
          </w:r>
          <w:r>
            <w:fldChar w:fldCharType="separate"/>
          </w:r>
          <w:r>
            <w:t>9</w:t>
          </w:r>
          <w:r>
            <w:fldChar w:fldCharType="end"/>
          </w:r>
          <w:r>
            <w:fldChar w:fldCharType="end"/>
          </w:r>
        </w:p>
        <w:p w14:paraId="07280DEA">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"_Toc173918694" </w:instrText>
          </w:r>
          <w:r>
            <w:fldChar w:fldCharType="separate"/>
          </w:r>
          <w:r>
            <w:rPr>
              <w:rStyle w:val="13"/>
              <w:rFonts w:hint="eastAsia" w:ascii="宋体" w:hAnsi="宋体"/>
              <w:sz w:val="24"/>
            </w:rPr>
            <w:t>（二）事故现场应急处置情况</w:t>
          </w:r>
          <w:r>
            <w:tab/>
          </w:r>
          <w:r>
            <w:fldChar w:fldCharType="begin"/>
          </w:r>
          <w:r>
            <w:instrText xml:space="preserve"> PAGEREF _Toc173918694 \h </w:instrText>
          </w:r>
          <w:r>
            <w:fldChar w:fldCharType="separate"/>
          </w:r>
          <w:r>
            <w:t>9</w:t>
          </w:r>
          <w:r>
            <w:fldChar w:fldCharType="end"/>
          </w:r>
          <w:r>
            <w:fldChar w:fldCharType="end"/>
          </w:r>
        </w:p>
        <w:p w14:paraId="5C910537">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"_Toc173918695" </w:instrText>
          </w:r>
          <w:r>
            <w:fldChar w:fldCharType="separate"/>
          </w:r>
          <w:r>
            <w:rPr>
              <w:rStyle w:val="13"/>
              <w:rFonts w:hint="eastAsia" w:ascii="宋体" w:hAnsi="宋体"/>
              <w:sz w:val="24"/>
            </w:rPr>
            <w:t>（三）医疗救治和善后情况</w:t>
          </w:r>
          <w:r>
            <w:tab/>
          </w:r>
          <w:r>
            <w:fldChar w:fldCharType="begin"/>
          </w:r>
          <w:r>
            <w:instrText xml:space="preserve"> PAGEREF _Toc173918695 \h </w:instrText>
          </w:r>
          <w:r>
            <w:fldChar w:fldCharType="separate"/>
          </w:r>
          <w:r>
            <w:t>9</w:t>
          </w:r>
          <w:r>
            <w:fldChar w:fldCharType="end"/>
          </w:r>
          <w:r>
            <w:fldChar w:fldCharType="end"/>
          </w:r>
        </w:p>
        <w:p w14:paraId="157404D9">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"_Toc173918696" </w:instrText>
          </w:r>
          <w:r>
            <w:fldChar w:fldCharType="separate"/>
          </w:r>
          <w:r>
            <w:rPr>
              <w:rStyle w:val="13"/>
              <w:rFonts w:hint="eastAsia" w:ascii="宋体" w:hAnsi="宋体"/>
              <w:sz w:val="24"/>
            </w:rPr>
            <w:t>（四）事故应急处置评估</w:t>
          </w:r>
          <w:r>
            <w:tab/>
          </w:r>
          <w:r>
            <w:fldChar w:fldCharType="begin"/>
          </w:r>
          <w:r>
            <w:instrText xml:space="preserve"> PAGEREF _Toc173918696 \h </w:instrText>
          </w:r>
          <w:r>
            <w:fldChar w:fldCharType="separate"/>
          </w:r>
          <w:r>
            <w:t>10</w:t>
          </w:r>
          <w:r>
            <w:fldChar w:fldCharType="end"/>
          </w:r>
          <w:r>
            <w:fldChar w:fldCharType="end"/>
          </w:r>
        </w:p>
        <w:p w14:paraId="427D492A">
          <w:pPr>
            <w:pStyle w:val="6"/>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"_Toc173918697" </w:instrText>
          </w:r>
          <w:r>
            <w:fldChar w:fldCharType="separate"/>
          </w:r>
          <w:r>
            <w:rPr>
              <w:rStyle w:val="13"/>
              <w:rFonts w:hint="eastAsia" w:ascii="黑体" w:hAnsi="黑体" w:eastAsia="黑体"/>
              <w:sz w:val="24"/>
            </w:rPr>
            <w:t>三、事故原因分析</w:t>
          </w:r>
          <w:r>
            <w:tab/>
          </w:r>
          <w:r>
            <w:fldChar w:fldCharType="begin"/>
          </w:r>
          <w:r>
            <w:instrText xml:space="preserve"> PAGEREF _Toc173918697 \h </w:instrText>
          </w:r>
          <w:r>
            <w:fldChar w:fldCharType="separate"/>
          </w:r>
          <w:r>
            <w:t>10</w:t>
          </w:r>
          <w:r>
            <w:fldChar w:fldCharType="end"/>
          </w:r>
          <w:r>
            <w:fldChar w:fldCharType="end"/>
          </w:r>
        </w:p>
        <w:p w14:paraId="4DB7B407">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"_Toc173918698" </w:instrText>
          </w:r>
          <w:r>
            <w:fldChar w:fldCharType="separate"/>
          </w:r>
          <w:r>
            <w:rPr>
              <w:rStyle w:val="13"/>
              <w:rFonts w:hint="eastAsia" w:ascii="宋体" w:hAnsi="宋体"/>
              <w:sz w:val="24"/>
            </w:rPr>
            <w:t>（一）直接原因分析</w:t>
          </w:r>
          <w:r>
            <w:tab/>
          </w:r>
          <w:r>
            <w:fldChar w:fldCharType="begin"/>
          </w:r>
          <w:r>
            <w:instrText xml:space="preserve"> PAGEREF _Toc173918698 \h </w:instrText>
          </w:r>
          <w:r>
            <w:fldChar w:fldCharType="separate"/>
          </w:r>
          <w:r>
            <w:t>10</w:t>
          </w:r>
          <w:r>
            <w:fldChar w:fldCharType="end"/>
          </w:r>
          <w:r>
            <w:fldChar w:fldCharType="end"/>
          </w:r>
        </w:p>
        <w:p w14:paraId="6C637D70">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"_Toc173918699" </w:instrText>
          </w:r>
          <w:r>
            <w:fldChar w:fldCharType="separate"/>
          </w:r>
          <w:r>
            <w:rPr>
              <w:rStyle w:val="13"/>
              <w:rFonts w:hint="eastAsia" w:ascii="宋体" w:hAnsi="宋体"/>
              <w:sz w:val="24"/>
            </w:rPr>
            <w:t>（二）其他可能因素排除</w:t>
          </w:r>
          <w:r>
            <w:tab/>
          </w:r>
          <w:r>
            <w:fldChar w:fldCharType="begin"/>
          </w:r>
          <w:r>
            <w:instrText xml:space="preserve"> PAGEREF _Toc173918699 \h </w:instrText>
          </w:r>
          <w:r>
            <w:fldChar w:fldCharType="separate"/>
          </w:r>
          <w:r>
            <w:t>10</w:t>
          </w:r>
          <w:r>
            <w:fldChar w:fldCharType="end"/>
          </w:r>
          <w:r>
            <w:fldChar w:fldCharType="end"/>
          </w:r>
        </w:p>
        <w:p w14:paraId="6A1AABA2">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"_Toc173918700" </w:instrText>
          </w:r>
          <w:r>
            <w:fldChar w:fldCharType="separate"/>
          </w:r>
          <w:r>
            <w:rPr>
              <w:rStyle w:val="13"/>
              <w:rFonts w:hint="eastAsia" w:ascii="宋体" w:hAnsi="宋体"/>
              <w:sz w:val="24"/>
            </w:rPr>
            <w:t>（三）间接原因分析</w:t>
          </w:r>
          <w:r>
            <w:tab/>
          </w:r>
          <w:r>
            <w:fldChar w:fldCharType="begin"/>
          </w:r>
          <w:r>
            <w:instrText xml:space="preserve"> PAGEREF _Toc173918700 \h </w:instrText>
          </w:r>
          <w:r>
            <w:fldChar w:fldCharType="separate"/>
          </w:r>
          <w:r>
            <w:t>10</w:t>
          </w:r>
          <w:r>
            <w:fldChar w:fldCharType="end"/>
          </w:r>
          <w:r>
            <w:fldChar w:fldCharType="end"/>
          </w:r>
        </w:p>
        <w:p w14:paraId="000BCA0B">
          <w:pPr>
            <w:pStyle w:val="6"/>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"_Toc173918701" </w:instrText>
          </w:r>
          <w:r>
            <w:fldChar w:fldCharType="separate"/>
          </w:r>
          <w:r>
            <w:rPr>
              <w:rStyle w:val="13"/>
              <w:rFonts w:hint="eastAsia" w:ascii="黑体" w:hAnsi="黑体" w:eastAsia="黑体"/>
              <w:sz w:val="24"/>
            </w:rPr>
            <w:t>四、有关责任单位存在的主要问题及履职情况</w:t>
          </w:r>
          <w:r>
            <w:tab/>
          </w:r>
          <w:r>
            <w:fldChar w:fldCharType="begin"/>
          </w:r>
          <w:r>
            <w:instrText xml:space="preserve"> PAGEREF _Toc173918701 \h </w:instrText>
          </w:r>
          <w:r>
            <w:fldChar w:fldCharType="separate"/>
          </w:r>
          <w:r>
            <w:t>11</w:t>
          </w:r>
          <w:r>
            <w:fldChar w:fldCharType="end"/>
          </w:r>
          <w:r>
            <w:fldChar w:fldCharType="end"/>
          </w:r>
        </w:p>
        <w:p w14:paraId="4D3822EA">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"_Toc173918702" </w:instrText>
          </w:r>
          <w:r>
            <w:fldChar w:fldCharType="separate"/>
          </w:r>
          <w:r>
            <w:rPr>
              <w:rStyle w:val="13"/>
              <w:rFonts w:hint="eastAsia" w:ascii="宋体" w:hAnsi="宋体"/>
              <w:sz w:val="24"/>
            </w:rPr>
            <w:t>（一）事故相关单位</w:t>
          </w:r>
          <w:r>
            <w:tab/>
          </w:r>
          <w:r>
            <w:fldChar w:fldCharType="begin"/>
          </w:r>
          <w:r>
            <w:instrText xml:space="preserve"> PAGEREF _Toc173918702 \h </w:instrText>
          </w:r>
          <w:r>
            <w:fldChar w:fldCharType="separate"/>
          </w:r>
          <w:r>
            <w:t>11</w:t>
          </w:r>
          <w:r>
            <w:fldChar w:fldCharType="end"/>
          </w:r>
          <w:r>
            <w:fldChar w:fldCharType="end"/>
          </w:r>
        </w:p>
        <w:p w14:paraId="0DE3470A">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"_Toc173918703" </w:instrText>
          </w:r>
          <w:r>
            <w:fldChar w:fldCharType="separate"/>
          </w:r>
          <w:r>
            <w:rPr>
              <w:rStyle w:val="13"/>
              <w:rFonts w:hint="eastAsia" w:ascii="宋体" w:hAnsi="宋体"/>
              <w:sz w:val="24"/>
            </w:rPr>
            <w:t>（二）事故发生地相关监管部门履职情况</w:t>
          </w:r>
          <w:r>
            <w:tab/>
          </w:r>
          <w:r>
            <w:fldChar w:fldCharType="begin"/>
          </w:r>
          <w:r>
            <w:instrText xml:space="preserve"> PAGEREF _Toc173918703 \h </w:instrText>
          </w:r>
          <w:r>
            <w:fldChar w:fldCharType="separate"/>
          </w:r>
          <w:r>
            <w:t>11</w:t>
          </w:r>
          <w:r>
            <w:fldChar w:fldCharType="end"/>
          </w:r>
          <w:r>
            <w:fldChar w:fldCharType="end"/>
          </w:r>
        </w:p>
        <w:p w14:paraId="60F57553">
          <w:pPr>
            <w:pStyle w:val="6"/>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"_Toc173918704" </w:instrText>
          </w:r>
          <w:r>
            <w:fldChar w:fldCharType="separate"/>
          </w:r>
          <w:r>
            <w:rPr>
              <w:rStyle w:val="13"/>
              <w:rFonts w:hint="eastAsia" w:ascii="黑体" w:hAnsi="黑体" w:eastAsia="黑体"/>
              <w:sz w:val="24"/>
            </w:rPr>
            <w:t>五、对有关责任人员和责任单位的处理建议</w:t>
          </w:r>
          <w:r>
            <w:tab/>
          </w:r>
          <w:r>
            <w:fldChar w:fldCharType="begin"/>
          </w:r>
          <w:r>
            <w:instrText xml:space="preserve"> PAGEREF _Toc173918704 \h </w:instrText>
          </w:r>
          <w:r>
            <w:fldChar w:fldCharType="separate"/>
          </w:r>
          <w:r>
            <w:t>13</w:t>
          </w:r>
          <w:r>
            <w:fldChar w:fldCharType="end"/>
          </w:r>
          <w:r>
            <w:fldChar w:fldCharType="end"/>
          </w:r>
        </w:p>
        <w:p w14:paraId="7B20EFF9">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"_Toc173918705" </w:instrText>
          </w:r>
          <w:r>
            <w:fldChar w:fldCharType="separate"/>
          </w:r>
          <w:r>
            <w:rPr>
              <w:rStyle w:val="13"/>
              <w:rFonts w:hint="eastAsia" w:ascii="宋体" w:hAnsi="宋体"/>
              <w:sz w:val="24"/>
            </w:rPr>
            <w:t>（一）因在事故中死亡免予追究责任人员</w:t>
          </w:r>
          <w:r>
            <w:tab/>
          </w:r>
          <w:r>
            <w:fldChar w:fldCharType="begin"/>
          </w:r>
          <w:r>
            <w:instrText xml:space="preserve"> PAGEREF _Toc173918705 \h </w:instrText>
          </w:r>
          <w:r>
            <w:fldChar w:fldCharType="separate"/>
          </w:r>
          <w:r>
            <w:t>13</w:t>
          </w:r>
          <w:r>
            <w:fldChar w:fldCharType="end"/>
          </w:r>
          <w:r>
            <w:fldChar w:fldCharType="end"/>
          </w:r>
        </w:p>
        <w:p w14:paraId="45EB2204">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"_Toc173918706" </w:instrText>
          </w:r>
          <w:r>
            <w:fldChar w:fldCharType="separate"/>
          </w:r>
          <w:r>
            <w:rPr>
              <w:rStyle w:val="13"/>
              <w:rFonts w:hint="eastAsia" w:ascii="宋体" w:hAnsi="宋体"/>
              <w:sz w:val="24"/>
            </w:rPr>
            <w:t>（二）对事故有关责任人员和责任单位的行政处罚建议</w:t>
          </w:r>
          <w:r>
            <w:tab/>
          </w:r>
          <w:r>
            <w:fldChar w:fldCharType="begin"/>
          </w:r>
          <w:r>
            <w:instrText xml:space="preserve"> PAGEREF _Toc173918706 \h </w:instrText>
          </w:r>
          <w:r>
            <w:fldChar w:fldCharType="separate"/>
          </w:r>
          <w:r>
            <w:t>13</w:t>
          </w:r>
          <w:r>
            <w:fldChar w:fldCharType="end"/>
          </w:r>
          <w:r>
            <w:fldChar w:fldCharType="end"/>
          </w:r>
        </w:p>
        <w:p w14:paraId="5BCFAC28">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"_Toc173918707" </w:instrText>
          </w:r>
          <w:r>
            <w:fldChar w:fldCharType="separate"/>
          </w:r>
          <w:r>
            <w:rPr>
              <w:rStyle w:val="13"/>
              <w:rFonts w:hint="eastAsia" w:ascii="宋体" w:hAnsi="宋体"/>
              <w:sz w:val="24"/>
            </w:rPr>
            <w:t>（三）其他处理建议</w:t>
          </w:r>
          <w:r>
            <w:tab/>
          </w:r>
          <w:r>
            <w:fldChar w:fldCharType="begin"/>
          </w:r>
          <w:r>
            <w:instrText xml:space="preserve"> PAGEREF _Toc173918707 \h </w:instrText>
          </w:r>
          <w:r>
            <w:fldChar w:fldCharType="separate"/>
          </w:r>
          <w:r>
            <w:t>14</w:t>
          </w:r>
          <w:r>
            <w:fldChar w:fldCharType="end"/>
          </w:r>
          <w:r>
            <w:fldChar w:fldCharType="end"/>
          </w:r>
        </w:p>
        <w:p w14:paraId="00C243E5">
          <w:pPr>
            <w:pStyle w:val="6"/>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"_Toc173918708" </w:instrText>
          </w:r>
          <w:r>
            <w:fldChar w:fldCharType="separate"/>
          </w:r>
          <w:r>
            <w:rPr>
              <w:rStyle w:val="13"/>
              <w:rFonts w:hint="eastAsia" w:ascii="黑体" w:hAnsi="黑体" w:eastAsia="黑体"/>
              <w:sz w:val="24"/>
            </w:rPr>
            <w:t>六、事故主要教训</w:t>
          </w:r>
          <w:r>
            <w:tab/>
          </w:r>
          <w:r>
            <w:fldChar w:fldCharType="begin"/>
          </w:r>
          <w:r>
            <w:instrText xml:space="preserve"> PAGEREF _Toc173918708 \h </w:instrText>
          </w:r>
          <w:r>
            <w:fldChar w:fldCharType="separate"/>
          </w:r>
          <w:r>
            <w:t>15</w:t>
          </w:r>
          <w:r>
            <w:fldChar w:fldCharType="end"/>
          </w:r>
          <w:r>
            <w:fldChar w:fldCharType="end"/>
          </w:r>
        </w:p>
        <w:p w14:paraId="5781E82E">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"_Toc173918709" </w:instrText>
          </w:r>
          <w:r>
            <w:fldChar w:fldCharType="separate"/>
          </w:r>
          <w:r>
            <w:rPr>
              <w:rStyle w:val="13"/>
              <w:rFonts w:hint="eastAsia" w:ascii="宋体" w:hAnsi="宋体"/>
              <w:sz w:val="24"/>
            </w:rPr>
            <w:t>（一）作业人员安全意识淡薄</w:t>
          </w:r>
          <w:r>
            <w:tab/>
          </w:r>
          <w:r>
            <w:fldChar w:fldCharType="begin"/>
          </w:r>
          <w:r>
            <w:instrText xml:space="preserve"> PAGEREF _Toc173918709 \h </w:instrText>
          </w:r>
          <w:r>
            <w:fldChar w:fldCharType="separate"/>
          </w:r>
          <w:r>
            <w:t>15</w:t>
          </w:r>
          <w:r>
            <w:fldChar w:fldCharType="end"/>
          </w:r>
          <w:r>
            <w:fldChar w:fldCharType="end"/>
          </w:r>
        </w:p>
        <w:p w14:paraId="2B9A8EB1">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"_Toc173918710" </w:instrText>
          </w:r>
          <w:r>
            <w:fldChar w:fldCharType="separate"/>
          </w:r>
          <w:r>
            <w:rPr>
              <w:rStyle w:val="13"/>
              <w:rFonts w:hint="eastAsia" w:ascii="宋体" w:hAnsi="宋体"/>
              <w:sz w:val="24"/>
            </w:rPr>
            <w:t>（二）企业安全生产管理不到位</w:t>
          </w:r>
          <w:r>
            <w:tab/>
          </w:r>
          <w:r>
            <w:fldChar w:fldCharType="begin"/>
          </w:r>
          <w:r>
            <w:instrText xml:space="preserve"> PAGEREF _Toc173918710 \h </w:instrText>
          </w:r>
          <w:r>
            <w:fldChar w:fldCharType="separate"/>
          </w:r>
          <w:r>
            <w:t>15</w:t>
          </w:r>
          <w:r>
            <w:fldChar w:fldCharType="end"/>
          </w:r>
          <w:r>
            <w:fldChar w:fldCharType="end"/>
          </w:r>
        </w:p>
        <w:p w14:paraId="09A0E496">
          <w:pPr>
            <w:pStyle w:val="6"/>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"_Toc173918711" </w:instrText>
          </w:r>
          <w:r>
            <w:fldChar w:fldCharType="separate"/>
          </w:r>
          <w:r>
            <w:rPr>
              <w:rStyle w:val="13"/>
              <w:rFonts w:hint="eastAsia" w:ascii="黑体" w:hAnsi="黑体" w:eastAsia="黑体"/>
              <w:sz w:val="24"/>
            </w:rPr>
            <w:t>七、事故整改和防范措施</w:t>
          </w:r>
          <w:r>
            <w:tab/>
          </w:r>
          <w:r>
            <w:fldChar w:fldCharType="begin"/>
          </w:r>
          <w:r>
            <w:instrText xml:space="preserve"> PAGEREF _Toc173918711 \h </w:instrText>
          </w:r>
          <w:r>
            <w:fldChar w:fldCharType="separate"/>
          </w:r>
          <w:r>
            <w:t>15</w:t>
          </w:r>
          <w:r>
            <w:fldChar w:fldCharType="end"/>
          </w:r>
          <w:r>
            <w:fldChar w:fldCharType="end"/>
          </w:r>
        </w:p>
        <w:p w14:paraId="47827080">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"_Toc173918712" </w:instrText>
          </w:r>
          <w:r>
            <w:fldChar w:fldCharType="separate"/>
          </w:r>
          <w:r>
            <w:rPr>
              <w:rStyle w:val="13"/>
              <w:rFonts w:hint="eastAsia" w:ascii="宋体" w:hAnsi="宋体"/>
              <w:sz w:val="24"/>
            </w:rPr>
            <w:t>（一）深刻吸取事故教训</w:t>
          </w:r>
          <w:r>
            <w:tab/>
          </w:r>
          <w:r>
            <w:fldChar w:fldCharType="begin"/>
          </w:r>
          <w:r>
            <w:instrText xml:space="preserve"> PAGEREF _Toc173918712 \h </w:instrText>
          </w:r>
          <w:r>
            <w:fldChar w:fldCharType="separate"/>
          </w:r>
          <w:r>
            <w:t>15</w:t>
          </w:r>
          <w:r>
            <w:fldChar w:fldCharType="end"/>
          </w:r>
          <w:r>
            <w:fldChar w:fldCharType="end"/>
          </w:r>
        </w:p>
        <w:p w14:paraId="3CF5E0B3">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"_Toc173918713" </w:instrText>
          </w:r>
          <w:r>
            <w:fldChar w:fldCharType="separate"/>
          </w:r>
          <w:r>
            <w:rPr>
              <w:rStyle w:val="13"/>
              <w:rFonts w:hint="eastAsia" w:ascii="宋体" w:hAnsi="宋体"/>
              <w:sz w:val="24"/>
            </w:rPr>
            <w:t>（二）严格落实企业主体责任</w:t>
          </w:r>
          <w:r>
            <w:tab/>
          </w:r>
          <w:r>
            <w:fldChar w:fldCharType="begin"/>
          </w:r>
          <w:r>
            <w:instrText xml:space="preserve"> PAGEREF _Toc173918713 \h </w:instrText>
          </w:r>
          <w:r>
            <w:fldChar w:fldCharType="separate"/>
          </w:r>
          <w:r>
            <w:t>15</w:t>
          </w:r>
          <w:r>
            <w:fldChar w:fldCharType="end"/>
          </w:r>
          <w:r>
            <w:fldChar w:fldCharType="end"/>
          </w:r>
        </w:p>
        <w:p w14:paraId="132B0830">
          <w:pPr>
            <w:pStyle w:val="8"/>
            <w:tabs>
              <w:tab w:val="right" w:leader="dot" w:pos="8834"/>
            </w:tabs>
            <w:spacing w:line="300" w:lineRule="auto"/>
            <w:rPr>
              <w:rFonts w:asciiTheme="minorHAnsi" w:hAnsiTheme="minorHAnsi" w:eastAsiaTheme="minorEastAsia" w:cstheme="minorBidi"/>
              <w:szCs w:val="22"/>
            </w:rPr>
          </w:pPr>
          <w:r>
            <w:fldChar w:fldCharType="begin"/>
          </w:r>
          <w:r>
            <w:instrText xml:space="preserve"> HYPERLINK \l "_Toc173918714" </w:instrText>
          </w:r>
          <w:r>
            <w:fldChar w:fldCharType="separate"/>
          </w:r>
          <w:r>
            <w:rPr>
              <w:rStyle w:val="13"/>
              <w:rFonts w:hint="eastAsia" w:ascii="宋体" w:hAnsi="宋体"/>
              <w:sz w:val="24"/>
            </w:rPr>
            <w:t>（三）加强安全监管</w:t>
          </w:r>
          <w:r>
            <w:tab/>
          </w:r>
          <w:r>
            <w:fldChar w:fldCharType="begin"/>
          </w:r>
          <w:r>
            <w:instrText xml:space="preserve"> PAGEREF _Toc173918714 \h </w:instrText>
          </w:r>
          <w:r>
            <w:fldChar w:fldCharType="separate"/>
          </w:r>
          <w:r>
            <w:t>16</w:t>
          </w:r>
          <w:r>
            <w:fldChar w:fldCharType="end"/>
          </w:r>
          <w:r>
            <w:fldChar w:fldCharType="end"/>
          </w:r>
        </w:p>
        <w:p w14:paraId="4A4F77EA">
          <w:pPr>
            <w:spacing w:line="300" w:lineRule="auto"/>
          </w:pPr>
          <w:r>
            <w:fldChar w:fldCharType="end"/>
          </w:r>
        </w:p>
      </w:sdtContent>
    </w:sdt>
    <w:p w14:paraId="15909966">
      <w:pPr>
        <w:widowControl/>
        <w:jc w:val="left"/>
        <w:rPr>
          <w:rFonts w:ascii="方正小标宋_GBK" w:eastAsia="方正小标宋_GBK"/>
          <w:sz w:val="44"/>
        </w:rPr>
        <w:sectPr>
          <w:headerReference r:id="rId5" w:type="first"/>
          <w:headerReference r:id="rId4" w:type="default"/>
          <w:footerReference r:id="rId6" w:type="default"/>
          <w:footerReference r:id="rId7" w:type="even"/>
          <w:pgSz w:w="11906" w:h="16838"/>
          <w:pgMar w:top="1928" w:right="1474" w:bottom="1701" w:left="1588" w:header="1418" w:footer="1418" w:gutter="0"/>
          <w:pgNumType w:fmt="numberInDash" w:start="1"/>
          <w:cols w:space="720" w:num="1"/>
          <w:docGrid w:type="lines" w:linePitch="312" w:charSpace="0"/>
        </w:sectPr>
      </w:pPr>
      <w:r>
        <w:rPr>
          <w:rFonts w:ascii="方正小标宋_GBK" w:eastAsia="方正小标宋_GBK"/>
          <w:sz w:val="44"/>
        </w:rPr>
        <w:br w:type="page"/>
      </w:r>
    </w:p>
    <w:p w14:paraId="01FE15D0">
      <w:pPr>
        <w:widowControl/>
        <w:spacing w:line="560" w:lineRule="exact"/>
        <w:ind w:firstLine="640" w:firstLineChars="200"/>
        <w:rPr>
          <w:rFonts w:ascii="仿宋_GB2312" w:eastAsia="仿宋_GB2312"/>
          <w:sz w:val="32"/>
        </w:rPr>
      </w:pPr>
      <w:r>
        <w:rPr>
          <w:rFonts w:hint="eastAsia" w:ascii="仿宋_GB2312" w:eastAsia="仿宋_GB2312"/>
          <w:sz w:val="32"/>
        </w:rPr>
        <w:t>2024年6月21日下午14时许，位于华安经济开发区的福建卓逸窗饰有限公司发生一起高处坠落事故，造成1人死亡。直接经济损失约人民币37万元。</w:t>
      </w:r>
    </w:p>
    <w:p w14:paraId="7DB53834">
      <w:pPr>
        <w:spacing w:line="560" w:lineRule="exact"/>
        <w:ind w:firstLine="640" w:firstLineChars="200"/>
        <w:rPr>
          <w:rFonts w:ascii="仿宋_GB2312" w:eastAsia="仿宋_GB2312"/>
          <w:sz w:val="32"/>
        </w:rPr>
      </w:pPr>
      <w:r>
        <w:rPr>
          <w:rFonts w:hint="eastAsia" w:ascii="仿宋_GB2312" w:eastAsia="仿宋_GB2312"/>
          <w:sz w:val="32"/>
        </w:rPr>
        <w:t>根据《中华人民共和国安全生产法》《生产安全事故报告和调查处理条例》（国务院令第493号）等有关法律法规规定，2024年7月4日，华安县人民政府成立了由县应急局局长郑永建任组长，县应急局副局长郭发明、华安经济开发区管委会副主任林金枝任副组长，县总工会、县公安局、县应急局、湖林乡办事处等单位有关人员组成的华安经济开发区福建卓逸窗饰有限公司“6·21”一般高处坠落事故调查组（以下简称“事故调查组”），依法对该起事故开展调查。</w:t>
      </w:r>
    </w:p>
    <w:p w14:paraId="629105CA">
      <w:pPr>
        <w:spacing w:line="560" w:lineRule="exact"/>
        <w:ind w:firstLine="640" w:firstLineChars="200"/>
        <w:rPr>
          <w:rFonts w:ascii="仿宋_GB2312" w:eastAsia="仿宋_GB2312"/>
          <w:sz w:val="32"/>
        </w:rPr>
      </w:pPr>
      <w:r>
        <w:rPr>
          <w:rFonts w:hint="eastAsia" w:ascii="仿宋_GB2312" w:eastAsia="仿宋_GB2312"/>
          <w:sz w:val="32"/>
        </w:rPr>
        <w:t>事故调查组按照“四不放过”和“科学严谨、依法依规、实事求是、注重实效”的原则，通过现场勘验、查阅资料、证人询问、综合分析，基本查清了事故发生的经过、原因，人员伤亡和财产损失情况，认定了事故性质和责任，提出了对有关责任单位和责任人员的处理建议。针对事故暴露出的突出问题，提出了事故防范措施建议。</w:t>
      </w:r>
    </w:p>
    <w:p w14:paraId="15C8EF4B">
      <w:pPr>
        <w:spacing w:line="560" w:lineRule="exact"/>
        <w:ind w:firstLine="640" w:firstLineChars="200"/>
        <w:rPr>
          <w:rFonts w:ascii="仿宋_GB2312" w:eastAsia="仿宋_GB2312"/>
          <w:sz w:val="32"/>
        </w:rPr>
      </w:pPr>
      <w:r>
        <w:rPr>
          <w:rFonts w:hint="eastAsia" w:ascii="仿宋_GB2312" w:eastAsia="仿宋_GB2312"/>
          <w:sz w:val="32"/>
        </w:rPr>
        <w:t>经调查认定，华安经济开发区福建卓逸窗饰有限公司“6·21”一般高处坠落事故是一起因企业安全生产教育培训不到位，作业现场安全漏管、失管，作业人员未按要求佩戴劳动防护用品、无证上岗作业造成的一般生产安全责任事故。</w:t>
      </w:r>
    </w:p>
    <w:p w14:paraId="7336314B">
      <w:pPr>
        <w:spacing w:line="560" w:lineRule="exact"/>
        <w:ind w:firstLine="640" w:firstLineChars="200"/>
        <w:outlineLvl w:val="0"/>
        <w:rPr>
          <w:rFonts w:ascii="黑体" w:hAnsi="黑体" w:eastAsia="黑体"/>
          <w:sz w:val="32"/>
        </w:rPr>
      </w:pPr>
      <w:bookmarkStart w:id="0" w:name="_Toc173918686"/>
      <w:r>
        <w:rPr>
          <w:rFonts w:hint="eastAsia" w:ascii="黑体" w:hAnsi="黑体" w:eastAsia="黑体"/>
          <w:sz w:val="32"/>
        </w:rPr>
        <w:t>一、事故基本情况</w:t>
      </w:r>
      <w:bookmarkEnd w:id="0"/>
    </w:p>
    <w:p w14:paraId="00CE65B1">
      <w:pPr>
        <w:spacing w:line="560" w:lineRule="exact"/>
        <w:ind w:firstLine="643" w:firstLineChars="200"/>
        <w:outlineLvl w:val="1"/>
        <w:rPr>
          <w:rFonts w:ascii="楷体_GB2312" w:eastAsia="楷体_GB2312"/>
          <w:b/>
          <w:sz w:val="32"/>
        </w:rPr>
      </w:pPr>
      <w:bookmarkStart w:id="1" w:name="_Toc173918687"/>
      <w:r>
        <w:rPr>
          <w:rFonts w:hint="eastAsia" w:ascii="楷体_GB2312" w:eastAsia="楷体_GB2312"/>
          <w:b/>
          <w:sz w:val="32"/>
        </w:rPr>
        <w:t>（一）事故发生单位概况</w:t>
      </w:r>
      <w:bookmarkEnd w:id="1"/>
    </w:p>
    <w:p w14:paraId="3BCCAF1C">
      <w:pPr>
        <w:spacing w:line="560" w:lineRule="exact"/>
        <w:ind w:firstLine="643" w:firstLineChars="200"/>
        <w:rPr>
          <w:rFonts w:ascii="仿宋_GB2312" w:eastAsia="仿宋_GB2312"/>
          <w:sz w:val="32"/>
        </w:rPr>
      </w:pPr>
      <w:r>
        <w:rPr>
          <w:rFonts w:hint="eastAsia" w:ascii="仿宋_GB2312" w:eastAsia="仿宋_GB2312"/>
          <w:b/>
          <w:sz w:val="32"/>
        </w:rPr>
        <w:t>1.福建卓逸窗饰有限公司</w:t>
      </w:r>
      <w:r>
        <w:rPr>
          <w:rFonts w:hint="eastAsia" w:ascii="仿宋_GB2312" w:eastAsia="仿宋_GB2312"/>
          <w:sz w:val="32"/>
        </w:rPr>
        <w:t>（以下简称“卓逸窗饰公司”）：法定代表人：黄本梁，统一社会信用代码：91350629MA2Y98B295，类型：有限责任公司，成立日期：2017年5月23日，营业期限：2017年5月23日至2047年5月22日，地址：福建省漳州市华安经济开发区九龙工业园，经营范围：窗饰制品、竹、木制品、塑胶制品、金属制品的生产及加工；包装材料、五金交电、灯具、玻璃制品、机电设备、电子产品、胶粘制品（危险化学品除外）、建筑装潢材料（危险化学品除外）的销售；自营和代理商品及技术进出口业务（涉及企业登记前置许可审批项目、国家限制经营及禁止进出口的商品及技术除外）。（依法须经批准的项目，经相关部门批准后方可开展经营活动）</w:t>
      </w:r>
    </w:p>
    <w:p w14:paraId="060B3EE0">
      <w:pPr>
        <w:spacing w:line="560" w:lineRule="exact"/>
        <w:ind w:firstLine="643" w:firstLineChars="200"/>
        <w:rPr>
          <w:rFonts w:ascii="仿宋_GB2312" w:eastAsia="仿宋_GB2312"/>
          <w:sz w:val="32"/>
        </w:rPr>
      </w:pPr>
      <w:r>
        <w:rPr>
          <w:rFonts w:hint="eastAsia" w:ascii="仿宋_GB2312" w:eastAsia="仿宋_GB2312"/>
          <w:b/>
          <w:sz w:val="32"/>
        </w:rPr>
        <w:drawing>
          <wp:anchor distT="0" distB="0" distL="114300" distR="114300" simplePos="0" relativeHeight="251663360" behindDoc="0" locked="0" layoutInCell="1" allowOverlap="1">
            <wp:simplePos x="0" y="0"/>
            <wp:positionH relativeFrom="margin">
              <wp:align>right</wp:align>
            </wp:positionH>
            <wp:positionV relativeFrom="margin">
              <wp:posOffset>4776470</wp:posOffset>
            </wp:positionV>
            <wp:extent cx="2457450" cy="2638425"/>
            <wp:effectExtent l="19050" t="0" r="0" b="0"/>
            <wp:wrapSquare wrapText="bothSides"/>
            <wp:docPr id="11" name="图片 1" descr="D:\应急管理\事故\2024\6.21\涂装净化车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D:\应急管理\事故\2024\6.21\涂装净化车间.jpg"/>
                    <pic:cNvPicPr>
                      <a:picLocks noChangeAspect="1" noChangeArrowheads="1"/>
                    </pic:cNvPicPr>
                  </pic:nvPicPr>
                  <pic:blipFill>
                    <a:blip r:embed="rId11" cstate="print"/>
                    <a:srcRect l="4181" t="6993" r="5704" b="3846"/>
                    <a:stretch>
                      <a:fillRect/>
                    </a:stretch>
                  </pic:blipFill>
                  <pic:spPr>
                    <a:xfrm>
                      <a:off x="0" y="0"/>
                      <a:ext cx="2457450" cy="2638425"/>
                    </a:xfrm>
                    <a:prstGeom prst="rect">
                      <a:avLst/>
                    </a:prstGeom>
                    <a:noFill/>
                    <a:ln w="9525">
                      <a:noFill/>
                      <a:miter lim="800000"/>
                      <a:headEnd/>
                      <a:tailEnd/>
                    </a:ln>
                  </pic:spPr>
                </pic:pic>
              </a:graphicData>
            </a:graphic>
          </wp:anchor>
        </w:drawing>
      </w:r>
      <w:r>
        <w:rPr>
          <w:rFonts w:hint="eastAsia" w:ascii="仿宋_GB2312" w:eastAsia="仿宋_GB2312"/>
          <w:b/>
          <w:sz w:val="32"/>
        </w:rPr>
        <w:drawing>
          <wp:anchor distT="0" distB="0" distL="114300" distR="114300" simplePos="0" relativeHeight="251664384" behindDoc="0" locked="0" layoutInCell="1" allowOverlap="1">
            <wp:simplePos x="0" y="0"/>
            <wp:positionH relativeFrom="margin">
              <wp:align>left</wp:align>
            </wp:positionH>
            <wp:positionV relativeFrom="margin">
              <wp:posOffset>5090795</wp:posOffset>
            </wp:positionV>
            <wp:extent cx="3110865" cy="2324100"/>
            <wp:effectExtent l="19050" t="0" r="0" b="0"/>
            <wp:wrapSquare wrapText="bothSides"/>
            <wp:docPr id="10" name="图片 56" descr="8955366a19e974741f11351c7d9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6" descr="8955366a19e974741f11351c7d94539"/>
                    <pic:cNvPicPr>
                      <a:picLocks noChangeAspect="1" noChangeArrowheads="1"/>
                    </pic:cNvPicPr>
                  </pic:nvPicPr>
                  <pic:blipFill>
                    <a:blip r:embed="rId12" cstate="print"/>
                    <a:srcRect/>
                    <a:stretch>
                      <a:fillRect/>
                    </a:stretch>
                  </pic:blipFill>
                  <pic:spPr>
                    <a:xfrm>
                      <a:off x="0" y="0"/>
                      <a:ext cx="3110865" cy="2324100"/>
                    </a:xfrm>
                    <a:prstGeom prst="rect">
                      <a:avLst/>
                    </a:prstGeom>
                    <a:noFill/>
                    <a:ln w="9525" cmpd="sng">
                      <a:noFill/>
                      <a:miter lim="800000"/>
                      <a:headEnd/>
                      <a:tailEnd/>
                    </a:ln>
                  </pic:spPr>
                </pic:pic>
              </a:graphicData>
            </a:graphic>
          </wp:anchor>
        </w:drawing>
      </w:r>
      <w:r>
        <w:rPr>
          <w:rFonts w:hint="eastAsia" w:ascii="仿宋_GB2312" w:eastAsia="仿宋_GB2312"/>
          <w:b/>
          <w:sz w:val="32"/>
        </w:rPr>
        <w:t>2.事故车间情况：</w:t>
      </w:r>
      <w:r>
        <w:rPr>
          <w:rFonts w:hint="eastAsia" w:ascii="仿宋_GB2312" w:eastAsia="仿宋_GB2312"/>
          <w:sz w:val="32"/>
        </w:rPr>
        <w:t>事故地点位于涂装净化车间（图1），车间主体由厚度为5cm的酚醛板</w:t>
      </w:r>
      <w:r>
        <w:rPr>
          <w:rStyle w:val="14"/>
          <w:rFonts w:ascii="仿宋_GB2312" w:eastAsia="仿宋_GB2312"/>
          <w:sz w:val="32"/>
        </w:rPr>
        <w:footnoteReference w:id="0" w:customMarkFollows="1"/>
        <w:t>[1]</w:t>
      </w:r>
      <w:r>
        <w:rPr>
          <w:rFonts w:hint="eastAsia" w:ascii="仿宋_GB2312" w:eastAsia="仿宋_GB2312"/>
          <w:sz w:val="32"/>
        </w:rPr>
        <w:t>搭建，高度约2.2米（图2），坠落点位于车间走廊房顶。</w:t>
      </w:r>
    </w:p>
    <w:p w14:paraId="6F2FB5D7">
      <w:pPr>
        <w:spacing w:line="560" w:lineRule="exact"/>
        <w:ind w:firstLine="560" w:firstLineChars="200"/>
        <w:jc w:val="center"/>
        <w:rPr>
          <w:rFonts w:ascii="宋体" w:hAnsi="宋体"/>
          <w:sz w:val="28"/>
          <w:szCs w:val="28"/>
        </w:rPr>
      </w:pPr>
      <w:r>
        <w:rPr>
          <w:rFonts w:hint="eastAsia" w:ascii="宋体" w:hAnsi="宋体"/>
          <w:sz w:val="28"/>
          <w:szCs w:val="28"/>
        </w:rPr>
        <w:t>图1涂装净化车间</w:t>
      </w:r>
    </w:p>
    <w:p w14:paraId="37E7FD51">
      <w:pPr>
        <w:spacing w:line="560" w:lineRule="exact"/>
        <w:ind w:firstLine="560" w:firstLineChars="200"/>
        <w:jc w:val="center"/>
        <w:rPr>
          <w:rFonts w:ascii="宋体" w:hAnsi="宋体"/>
          <w:sz w:val="28"/>
          <w:szCs w:val="28"/>
        </w:rPr>
      </w:pPr>
      <w:r>
        <w:rPr>
          <w:rFonts w:hint="eastAsia" w:ascii="宋体" w:hAnsi="宋体"/>
          <w:sz w:val="28"/>
          <w:szCs w:val="28"/>
        </w:rPr>
        <w:drawing>
          <wp:anchor distT="0" distB="0" distL="114300" distR="114300" simplePos="0" relativeHeight="251661312" behindDoc="0" locked="0" layoutInCell="1" allowOverlap="1">
            <wp:simplePos x="0" y="0"/>
            <wp:positionH relativeFrom="margin">
              <wp:align>left</wp:align>
            </wp:positionH>
            <wp:positionV relativeFrom="margin">
              <wp:align>top</wp:align>
            </wp:positionV>
            <wp:extent cx="2884805" cy="3267075"/>
            <wp:effectExtent l="19050" t="0" r="0" b="0"/>
            <wp:wrapSquare wrapText="bothSides"/>
            <wp:docPr id="5" name="图片 50" descr="1b9597d0f8288ae1ef05afd00f9f4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0" descr="1b9597d0f8288ae1ef05afd00f9f48c"/>
                    <pic:cNvPicPr>
                      <a:picLocks noChangeAspect="1" noChangeArrowheads="1"/>
                    </pic:cNvPicPr>
                  </pic:nvPicPr>
                  <pic:blipFill>
                    <a:blip r:embed="rId13" cstate="print"/>
                    <a:srcRect/>
                    <a:stretch>
                      <a:fillRect/>
                    </a:stretch>
                  </pic:blipFill>
                  <pic:spPr>
                    <a:xfrm>
                      <a:off x="0" y="0"/>
                      <a:ext cx="2884805" cy="3267075"/>
                    </a:xfrm>
                    <a:prstGeom prst="rect">
                      <a:avLst/>
                    </a:prstGeom>
                    <a:noFill/>
                    <a:ln w="9525" cmpd="sng">
                      <a:noFill/>
                      <a:miter lim="800000"/>
                      <a:headEnd/>
                      <a:tailEnd/>
                    </a:ln>
                    <a:effectLst/>
                  </pic:spPr>
                </pic:pic>
              </a:graphicData>
            </a:graphic>
          </wp:anchor>
        </w:drawing>
      </w:r>
      <w:r>
        <w:rPr>
          <w:rFonts w:hint="eastAsia" w:ascii="宋体" w:hAnsi="宋体"/>
          <w:sz w:val="28"/>
          <w:szCs w:val="28"/>
        </w:rPr>
        <w:drawing>
          <wp:anchor distT="0" distB="0" distL="114300" distR="114300" simplePos="0" relativeHeight="251662336" behindDoc="0" locked="0" layoutInCell="1" allowOverlap="1">
            <wp:simplePos x="0" y="0"/>
            <wp:positionH relativeFrom="margin">
              <wp:align>right</wp:align>
            </wp:positionH>
            <wp:positionV relativeFrom="margin">
              <wp:align>top</wp:align>
            </wp:positionV>
            <wp:extent cx="2714625" cy="3270885"/>
            <wp:effectExtent l="19050" t="0" r="9525" b="0"/>
            <wp:wrapSquare wrapText="bothSides"/>
            <wp:docPr id="6" name="图片 49" descr="d3fced7dab39ffa9755d391b7195d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9" descr="d3fced7dab39ffa9755d391b7195dd9"/>
                    <pic:cNvPicPr>
                      <a:picLocks noChangeAspect="1" noChangeArrowheads="1"/>
                    </pic:cNvPicPr>
                  </pic:nvPicPr>
                  <pic:blipFill>
                    <a:blip r:embed="rId14" cstate="print"/>
                    <a:srcRect/>
                    <a:stretch>
                      <a:fillRect/>
                    </a:stretch>
                  </pic:blipFill>
                  <pic:spPr>
                    <a:xfrm>
                      <a:off x="0" y="0"/>
                      <a:ext cx="2714625" cy="3270885"/>
                    </a:xfrm>
                    <a:prstGeom prst="rect">
                      <a:avLst/>
                    </a:prstGeom>
                    <a:noFill/>
                    <a:ln w="9525" cmpd="sng">
                      <a:noFill/>
                      <a:miter lim="800000"/>
                      <a:headEnd/>
                      <a:tailEnd/>
                    </a:ln>
                    <a:effectLst/>
                  </pic:spPr>
                </pic:pic>
              </a:graphicData>
            </a:graphic>
          </wp:anchor>
        </w:drawing>
      </w:r>
      <w:r>
        <w:rPr>
          <w:rFonts w:hint="eastAsia" w:ascii="宋体" w:hAnsi="宋体"/>
          <w:sz w:val="28"/>
          <w:szCs w:val="28"/>
        </w:rPr>
        <w:t>图2坠落高度测量</w:t>
      </w:r>
    </w:p>
    <w:p w14:paraId="5D785781">
      <w:pPr>
        <w:spacing w:line="560" w:lineRule="exact"/>
        <w:ind w:firstLine="643" w:firstLineChars="200"/>
        <w:rPr>
          <w:rFonts w:ascii="仿宋_GB2312" w:eastAsia="仿宋_GB2312"/>
          <w:sz w:val="32"/>
        </w:rPr>
      </w:pPr>
      <w:r>
        <w:rPr>
          <w:rFonts w:hint="eastAsia" w:ascii="仿宋_GB2312" w:eastAsia="仿宋_GB2312"/>
          <w:b/>
          <w:sz w:val="32"/>
        </w:rPr>
        <w:t>3.事故班组情况：</w:t>
      </w:r>
      <w:r>
        <w:rPr>
          <w:rFonts w:hint="eastAsia" w:ascii="仿宋_GB2312" w:eastAsia="仿宋_GB2312"/>
          <w:sz w:val="32"/>
        </w:rPr>
        <w:t>事故班组为喷漆班组，班组长张省伟，喷漆工：李建文（死者）、陈银波、陈贵银，喷漆小工：邹振国、黄振忠。日常工作内容除喷漆外，当所在喷漆房风机出现故障时，需负责协助维修人员搬运风机。</w:t>
      </w:r>
    </w:p>
    <w:p w14:paraId="63CA4D44">
      <w:pPr>
        <w:spacing w:line="560" w:lineRule="exact"/>
        <w:ind w:firstLine="643" w:firstLineChars="200"/>
        <w:outlineLvl w:val="1"/>
        <w:rPr>
          <w:rFonts w:ascii="仿宋_GB2312" w:eastAsia="仿宋_GB2312"/>
          <w:sz w:val="32"/>
        </w:rPr>
      </w:pPr>
      <w:bookmarkStart w:id="2" w:name="_Toc173918688"/>
      <w:r>
        <w:rPr>
          <w:rFonts w:hint="eastAsia" w:ascii="楷体_GB2312" w:eastAsia="楷体_GB2312"/>
          <w:b/>
          <w:sz w:val="32"/>
        </w:rPr>
        <w:t>（二）事故发生单位安全管理情况</w:t>
      </w:r>
      <w:bookmarkEnd w:id="2"/>
    </w:p>
    <w:p w14:paraId="20579E9E">
      <w:pPr>
        <w:spacing w:line="560" w:lineRule="exact"/>
        <w:ind w:firstLine="643" w:firstLineChars="200"/>
        <w:rPr>
          <w:rFonts w:ascii="仿宋_GB2312" w:eastAsia="仿宋_GB2312"/>
          <w:sz w:val="32"/>
        </w:rPr>
      </w:pPr>
      <w:r>
        <w:rPr>
          <w:rFonts w:hint="eastAsia" w:ascii="仿宋_GB2312" w:eastAsia="仿宋_GB2312"/>
          <w:b/>
          <w:sz w:val="32"/>
        </w:rPr>
        <w:t>1.安全管理机构设置情况：</w:t>
      </w:r>
      <w:r>
        <w:rPr>
          <w:rFonts w:hint="eastAsia" w:ascii="仿宋_GB2312" w:eastAsia="仿宋_GB2312"/>
          <w:sz w:val="32"/>
        </w:rPr>
        <w:t>卓逸窗饰公司成立了安全生产管理机构</w:t>
      </w:r>
      <w:r>
        <w:rPr>
          <w:rStyle w:val="14"/>
          <w:rFonts w:ascii="仿宋_GB2312" w:eastAsia="仿宋_GB2312"/>
          <w:sz w:val="32"/>
        </w:rPr>
        <w:footnoteReference w:id="1" w:customMarkFollows="1"/>
        <w:t>[</w:t>
      </w:r>
      <w:r>
        <w:rPr>
          <w:rStyle w:val="14"/>
          <w:rFonts w:hint="eastAsia" w:ascii="仿宋_GB2312" w:eastAsia="仿宋_GB2312"/>
          <w:sz w:val="32"/>
        </w:rPr>
        <w:t>2</w:t>
      </w:r>
      <w:r>
        <w:rPr>
          <w:rStyle w:val="14"/>
          <w:rFonts w:ascii="仿宋_GB2312" w:eastAsia="仿宋_GB2312"/>
          <w:sz w:val="32"/>
        </w:rPr>
        <w:t>]</w:t>
      </w:r>
      <w:r>
        <w:rPr>
          <w:rFonts w:hint="eastAsia" w:ascii="仿宋_GB2312" w:eastAsia="仿宋_GB2312"/>
          <w:sz w:val="32"/>
        </w:rPr>
        <w:t>，任命吴建平为安全总监，任命施雪焰、甘中成为安全员。</w:t>
      </w:r>
    </w:p>
    <w:p w14:paraId="5EC7A098">
      <w:pPr>
        <w:spacing w:line="560" w:lineRule="exact"/>
        <w:ind w:firstLine="643" w:firstLineChars="200"/>
        <w:rPr>
          <w:rFonts w:ascii="仿宋_GB2312" w:eastAsia="仿宋_GB2312"/>
          <w:sz w:val="32"/>
        </w:rPr>
      </w:pPr>
      <w:r>
        <w:rPr>
          <w:rFonts w:hint="eastAsia" w:ascii="仿宋_GB2312" w:eastAsia="仿宋_GB2312"/>
          <w:b/>
          <w:sz w:val="32"/>
        </w:rPr>
        <w:t>2.安全管理制度建立情况：</w:t>
      </w:r>
      <w:r>
        <w:rPr>
          <w:rFonts w:hint="eastAsia" w:ascii="仿宋_GB2312" w:eastAsia="仿宋_GB2312"/>
          <w:sz w:val="32"/>
        </w:rPr>
        <w:t>卓逸窗饰公司建立了安全生产责任制、双重预防机制，制定了安全教育培训管理制度、危险作业安全管理制度等相关规章制度和相关安全生产操作规程、生产安全事故应急救援预案等。</w:t>
      </w:r>
    </w:p>
    <w:p w14:paraId="6F5E977A">
      <w:pPr>
        <w:spacing w:line="560" w:lineRule="exact"/>
        <w:ind w:firstLine="643" w:firstLineChars="200"/>
        <w:rPr>
          <w:rFonts w:ascii="仿宋_GB2312" w:eastAsia="仿宋_GB2312"/>
          <w:sz w:val="32"/>
        </w:rPr>
      </w:pPr>
      <w:r>
        <w:rPr>
          <w:rFonts w:hint="eastAsia" w:ascii="仿宋_GB2312" w:eastAsia="仿宋_GB2312"/>
          <w:b/>
          <w:sz w:val="32"/>
        </w:rPr>
        <w:t>3.安全教育培训情况：</w:t>
      </w:r>
      <w:r>
        <w:rPr>
          <w:rFonts w:hint="eastAsia" w:ascii="仿宋_GB2312" w:eastAsia="仿宋_GB2312"/>
          <w:sz w:val="32"/>
        </w:rPr>
        <w:t>经查，李建文于2024年3月27日与卓逸窗饰公司签订固定期限劳动合同（自2024年3月27日起至2027年3月26日止）。3月27日至3月30日接受卓逸窗饰公司三级安全教育培训共32学时，考核成绩为92分。卓逸窗饰公司未对事故班组进行高处作业相关安全教育培训。</w:t>
      </w:r>
    </w:p>
    <w:p w14:paraId="33B51277">
      <w:pPr>
        <w:spacing w:line="560" w:lineRule="exact"/>
        <w:ind w:firstLine="643" w:firstLineChars="200"/>
        <w:rPr>
          <w:rFonts w:ascii="仿宋_GB2312" w:eastAsia="仿宋_GB2312"/>
          <w:sz w:val="32"/>
        </w:rPr>
      </w:pPr>
      <w:r>
        <w:rPr>
          <w:rFonts w:hint="eastAsia" w:ascii="仿宋_GB2312" w:eastAsia="仿宋_GB2312"/>
          <w:b/>
          <w:sz w:val="32"/>
        </w:rPr>
        <w:t>4.作业审批情况：</w:t>
      </w:r>
      <w:r>
        <w:rPr>
          <w:rFonts w:hint="eastAsia" w:ascii="仿宋_GB2312" w:eastAsia="仿宋_GB2312"/>
          <w:sz w:val="32"/>
        </w:rPr>
        <w:t>2024年6月21日张省伟申请进行高处作业</w:t>
      </w:r>
      <w:r>
        <w:rPr>
          <w:rStyle w:val="14"/>
          <w:rFonts w:ascii="仿宋_GB2312" w:eastAsia="仿宋_GB2312"/>
          <w:sz w:val="32"/>
        </w:rPr>
        <w:footnoteReference w:id="2" w:customMarkFollows="1"/>
        <w:t>[</w:t>
      </w:r>
      <w:r>
        <w:rPr>
          <w:rStyle w:val="14"/>
          <w:rFonts w:hint="eastAsia" w:ascii="仿宋_GB2312" w:eastAsia="仿宋_GB2312"/>
          <w:sz w:val="32"/>
        </w:rPr>
        <w:t>3</w:t>
      </w:r>
      <w:r>
        <w:rPr>
          <w:rStyle w:val="14"/>
          <w:rFonts w:ascii="仿宋_GB2312" w:eastAsia="仿宋_GB2312"/>
          <w:sz w:val="32"/>
        </w:rPr>
        <w:t>]</w:t>
      </w:r>
      <w:r>
        <w:rPr>
          <w:rFonts w:hint="eastAsia" w:ascii="仿宋_GB2312" w:eastAsia="仿宋_GB2312"/>
          <w:sz w:val="32"/>
        </w:rPr>
        <w:t>，作业内容：换风机；作业人：张省伟班组（李建文、陈银波、陈贵银、黄振忠）；作业时间：2024年6月21日13时30分至2024年6月21日17时30分；主要安全措施：作业人员身体条件符合要求、作业人员着装符合工作要求、作业人员佩戴安全带、梯子或绳梯符合安全规程规定、在石棉瓦等不承重物上作业应搭设并站在固定承重板上，确认人：张省伟；现场安全监护人意见：张省伟；安环部意见：吴建平；公司领导审批意见：施雪焰。</w:t>
      </w:r>
    </w:p>
    <w:p w14:paraId="09E85C97">
      <w:pPr>
        <w:spacing w:line="560" w:lineRule="exact"/>
        <w:ind w:firstLine="643" w:firstLineChars="200"/>
        <w:rPr>
          <w:rFonts w:ascii="仿宋_GB2312" w:eastAsia="仿宋_GB2312"/>
          <w:b/>
          <w:sz w:val="32"/>
        </w:rPr>
      </w:pPr>
      <w:r>
        <w:rPr>
          <w:rFonts w:hint="eastAsia" w:ascii="仿宋_GB2312" w:eastAsia="仿宋_GB2312"/>
          <w:b/>
          <w:sz w:val="32"/>
        </w:rPr>
        <w:t>5.安全措施落实情况：</w:t>
      </w:r>
    </w:p>
    <w:p w14:paraId="2A91BEDE">
      <w:pPr>
        <w:spacing w:line="560" w:lineRule="exact"/>
        <w:ind w:firstLine="643" w:firstLineChars="200"/>
        <w:rPr>
          <w:rFonts w:ascii="仿宋_GB2312" w:eastAsia="仿宋_GB2312"/>
          <w:sz w:val="32"/>
          <w:szCs w:val="32"/>
        </w:rPr>
      </w:pPr>
      <w:r>
        <w:rPr>
          <w:rFonts w:hint="eastAsia" w:ascii="仿宋_GB2312" w:eastAsia="仿宋_GB2312"/>
          <w:b/>
          <w:sz w:val="32"/>
        </w:rPr>
        <w:t>（1）作业人员无证上岗作业。</w:t>
      </w:r>
      <w:r>
        <w:rPr>
          <w:rFonts w:hint="eastAsia" w:ascii="仿宋_GB2312" w:eastAsia="仿宋_GB2312"/>
          <w:sz w:val="32"/>
          <w:szCs w:val="32"/>
        </w:rPr>
        <w:t>经查，现场作业人员均未持高处作业证</w:t>
      </w:r>
      <w:r>
        <w:rPr>
          <w:rStyle w:val="14"/>
          <w:rFonts w:ascii="仿宋_GB2312" w:eastAsia="仿宋_GB2312"/>
          <w:sz w:val="32"/>
        </w:rPr>
        <w:footnoteReference w:id="3" w:customMarkFollows="1"/>
        <w:t>[</w:t>
      </w:r>
      <w:r>
        <w:rPr>
          <w:rStyle w:val="14"/>
          <w:rFonts w:hint="eastAsia" w:ascii="仿宋_GB2312" w:eastAsia="仿宋_GB2312"/>
          <w:sz w:val="32"/>
        </w:rPr>
        <w:t>4</w:t>
      </w:r>
      <w:r>
        <w:rPr>
          <w:rStyle w:val="14"/>
          <w:rFonts w:ascii="仿宋_GB2312" w:eastAsia="仿宋_GB2312"/>
          <w:sz w:val="32"/>
        </w:rPr>
        <w:t>]</w:t>
      </w:r>
      <w:r>
        <w:rPr>
          <w:rFonts w:hint="eastAsia" w:ascii="仿宋_GB2312" w:eastAsia="仿宋_GB2312"/>
          <w:sz w:val="32"/>
          <w:szCs w:val="32"/>
        </w:rPr>
        <w:t>。</w:t>
      </w:r>
    </w:p>
    <w:p w14:paraId="65036FA2">
      <w:pPr>
        <w:spacing w:line="560" w:lineRule="exact"/>
        <w:ind w:firstLine="643" w:firstLineChars="200"/>
        <w:rPr>
          <w:rFonts w:ascii="仿宋_GB2312" w:eastAsia="仿宋_GB2312"/>
          <w:sz w:val="32"/>
          <w:szCs w:val="32"/>
        </w:rPr>
      </w:pPr>
      <w:r>
        <w:rPr>
          <w:rFonts w:hint="eastAsia" w:ascii="仿宋_GB2312" w:eastAsia="仿宋_GB2312"/>
          <w:b/>
          <w:sz w:val="32"/>
        </w:rPr>
        <w:t>（2）作业人员未佩戴安全带。</w:t>
      </w:r>
      <w:r>
        <w:rPr>
          <w:rFonts w:hint="eastAsia" w:ascii="仿宋_GB2312" w:eastAsia="仿宋_GB2312"/>
          <w:sz w:val="32"/>
        </w:rPr>
        <w:t>经查，6月21日，张省伟向卓逸窗饰公司申领了6顶安全帽、5套安全带、5根安全绳，在作业现场要求作业人员自行佩戴，因喷漆车间屋顶</w:t>
      </w:r>
      <w:r>
        <w:rPr>
          <w:rFonts w:hint="eastAsia" w:ascii="仿宋_GB2312" w:eastAsia="仿宋_GB2312"/>
          <w:sz w:val="32"/>
          <w:szCs w:val="32"/>
        </w:rPr>
        <w:t>无牢固的构件或物体用于栓挂安全带，作业人员均未佩戴安全带。</w:t>
      </w:r>
    </w:p>
    <w:p w14:paraId="7B4D08B3">
      <w:pPr>
        <w:spacing w:line="560" w:lineRule="exact"/>
        <w:ind w:firstLine="643" w:firstLineChars="200"/>
        <w:rPr>
          <w:rFonts w:ascii="仿宋_GB2312" w:eastAsia="仿宋_GB2312"/>
          <w:sz w:val="32"/>
        </w:rPr>
      </w:pPr>
      <w:r>
        <w:rPr>
          <w:rFonts w:hint="eastAsia" w:ascii="仿宋_GB2312" w:eastAsia="仿宋_GB2312"/>
          <w:b/>
          <w:sz w:val="32"/>
        </w:rPr>
        <w:t>（3）作业现场检查和监护不到位。</w:t>
      </w:r>
      <w:r>
        <w:rPr>
          <w:rFonts w:hint="eastAsia" w:ascii="仿宋_GB2312" w:eastAsia="仿宋_GB2312"/>
          <w:sz w:val="32"/>
          <w:szCs w:val="32"/>
        </w:rPr>
        <w:t>经查，事故当天，作业时安全员施雪焰未到作业现场检查，班组长张省伟参与作业，未进行现场监护。</w:t>
      </w:r>
    </w:p>
    <w:p w14:paraId="00CE4DFA">
      <w:pPr>
        <w:spacing w:line="560" w:lineRule="exact"/>
        <w:ind w:firstLine="643" w:firstLineChars="200"/>
        <w:outlineLvl w:val="1"/>
        <w:rPr>
          <w:rFonts w:ascii="楷体_GB2312" w:eastAsia="楷体_GB2312"/>
          <w:b/>
          <w:sz w:val="32"/>
        </w:rPr>
      </w:pPr>
      <w:bookmarkStart w:id="3" w:name="_Toc173918689"/>
      <w:r>
        <w:rPr>
          <w:rFonts w:hint="eastAsia" w:ascii="楷体_GB2312" w:eastAsia="楷体_GB2312"/>
          <w:b/>
          <w:sz w:val="32"/>
        </w:rPr>
        <w:t>（三）事故发生经过</w:t>
      </w:r>
      <w:bookmarkEnd w:id="3"/>
    </w:p>
    <w:p w14:paraId="00D6F5BE">
      <w:pPr>
        <w:spacing w:line="560" w:lineRule="exact"/>
        <w:ind w:firstLine="640" w:firstLineChars="200"/>
        <w:rPr>
          <w:rFonts w:ascii="仿宋_GB2312" w:eastAsia="仿宋_GB2312"/>
          <w:sz w:val="32"/>
        </w:rPr>
      </w:pPr>
      <w:r>
        <w:rPr>
          <w:rFonts w:hint="eastAsia" w:ascii="仿宋_GB2312" w:eastAsia="仿宋_GB2312"/>
          <w:sz w:val="32"/>
        </w:rPr>
        <w:t>2024年6月21日14时许，喷漆班组班组长张省伟通知喷漆工：李建文、陈银波、陈贵银，喷漆小工：黄振忠，协助维修人员更换喷漆房的故障风机，张省伟驾驶叉车</w:t>
      </w:r>
      <w:r>
        <w:rPr>
          <w:rStyle w:val="14"/>
          <w:rFonts w:ascii="仿宋_GB2312" w:eastAsia="仿宋_GB2312"/>
          <w:sz w:val="32"/>
        </w:rPr>
        <w:footnoteReference w:id="4" w:customMarkFollows="1"/>
        <w:t>[</w:t>
      </w:r>
      <w:r>
        <w:rPr>
          <w:rStyle w:val="14"/>
          <w:rFonts w:hint="eastAsia" w:ascii="仿宋_GB2312" w:eastAsia="仿宋_GB2312"/>
          <w:sz w:val="32"/>
        </w:rPr>
        <w:t>5</w:t>
      </w:r>
      <w:r>
        <w:rPr>
          <w:rStyle w:val="14"/>
          <w:rFonts w:ascii="仿宋_GB2312" w:eastAsia="仿宋_GB2312"/>
          <w:sz w:val="32"/>
        </w:rPr>
        <w:t>]</w:t>
      </w:r>
      <w:r>
        <w:rPr>
          <w:rFonts w:hint="eastAsia" w:ascii="仿宋_GB2312" w:eastAsia="仿宋_GB2312"/>
          <w:sz w:val="32"/>
        </w:rPr>
        <w:t>将风机抬升到喷漆房房顶，陈银波、陈贵银站在喷漆房一侧顶板上，李建文、黄振忠站在靠近走廊一侧顶板上，四人合力将风机抬起，正准备往风机方向移动时，李建文的脚踩在走廊顶板上造成顶板变形脱落，李建文随顶板坠落，被一同坠落的风机砸伤。</w:t>
      </w:r>
    </w:p>
    <w:p w14:paraId="0EBFC5CA">
      <w:pPr>
        <w:spacing w:line="560" w:lineRule="exact"/>
        <w:ind w:firstLine="643" w:firstLineChars="200"/>
        <w:outlineLvl w:val="1"/>
        <w:rPr>
          <w:rFonts w:ascii="楷体_GB2312" w:eastAsia="楷体_GB2312"/>
          <w:b/>
          <w:sz w:val="32"/>
        </w:rPr>
      </w:pPr>
      <w:bookmarkStart w:id="4" w:name="_Toc173918690"/>
      <w:r>
        <w:rPr>
          <w:rFonts w:hint="eastAsia" w:ascii="楷体_GB2312" w:eastAsia="楷体_GB2312"/>
          <w:b/>
          <w:sz w:val="32"/>
        </w:rPr>
        <w:t>（四）事故现场情况</w:t>
      </w:r>
      <w:bookmarkEnd w:id="4"/>
    </w:p>
    <w:p w14:paraId="7F4BE3CB">
      <w:pPr>
        <w:spacing w:line="560" w:lineRule="exact"/>
        <w:ind w:firstLine="640" w:firstLineChars="200"/>
        <w:rPr>
          <w:rFonts w:ascii="仿宋_GB2312" w:eastAsia="仿宋_GB2312"/>
          <w:sz w:val="32"/>
        </w:rPr>
      </w:pPr>
      <w:r>
        <w:rPr>
          <w:rFonts w:hint="eastAsia" w:ascii="仿宋_GB2312" w:eastAsia="仿宋_GB2312"/>
          <w:sz w:val="32"/>
        </w:rPr>
        <w:t>喷漆车间走廊一处顶板掉落（图4），现场可见一块变形的顶板（图5）和一台风机</w:t>
      </w:r>
      <w:r>
        <w:rPr>
          <w:rStyle w:val="14"/>
          <w:rFonts w:ascii="仿宋_GB2312" w:eastAsia="仿宋_GB2312"/>
          <w:sz w:val="32"/>
        </w:rPr>
        <w:footnoteReference w:id="5" w:customMarkFollows="1"/>
        <w:t>[</w:t>
      </w:r>
      <w:r>
        <w:rPr>
          <w:rStyle w:val="14"/>
          <w:rFonts w:hint="eastAsia" w:ascii="仿宋_GB2312" w:eastAsia="仿宋_GB2312"/>
          <w:sz w:val="32"/>
        </w:rPr>
        <w:t>6</w:t>
      </w:r>
      <w:r>
        <w:rPr>
          <w:rStyle w:val="14"/>
          <w:rFonts w:ascii="仿宋_GB2312" w:eastAsia="仿宋_GB2312"/>
          <w:sz w:val="32"/>
        </w:rPr>
        <w:t>]</w:t>
      </w:r>
      <w:r>
        <w:rPr>
          <w:rFonts w:hint="eastAsia" w:ascii="仿宋_GB2312" w:eastAsia="仿宋_GB2312"/>
          <w:sz w:val="32"/>
        </w:rPr>
        <w:t>（图6），风机上有残留血迹。</w:t>
      </w:r>
    </w:p>
    <w:p w14:paraId="50D0B5C8">
      <w:pPr>
        <w:widowControl/>
        <w:jc w:val="left"/>
        <w:rPr>
          <w:rFonts w:ascii="仿宋_GB2312" w:eastAsia="仿宋_GB2312"/>
          <w:sz w:val="32"/>
        </w:rPr>
      </w:pPr>
      <w:r>
        <w:rPr>
          <w:rFonts w:ascii="仿宋_GB2312" w:eastAsia="仿宋_GB2312"/>
          <w:sz w:val="32"/>
        </w:rPr>
        <w:br w:type="page"/>
      </w:r>
    </w:p>
    <w:p w14:paraId="7AF5706E">
      <w:pPr>
        <w:widowControl/>
        <w:jc w:val="center"/>
        <w:rPr>
          <w:rFonts w:ascii="宋体" w:hAnsi="宋体"/>
          <w:sz w:val="28"/>
          <w:szCs w:val="28"/>
        </w:rPr>
      </w:pPr>
      <w:r>
        <w:rPr>
          <w:rFonts w:hint="eastAsia" w:ascii="宋体" w:hAnsi="宋体"/>
          <w:sz w:val="28"/>
          <w:szCs w:val="28"/>
        </w:rPr>
        <w:t>图4喷漆车间走廊</w:t>
      </w:r>
    </w:p>
    <w:p w14:paraId="23025F39">
      <w:pPr>
        <w:widowControl/>
        <w:jc w:val="left"/>
        <w:rPr>
          <w:rFonts w:ascii="仿宋_GB2312" w:eastAsia="仿宋_GB2312"/>
          <w:sz w:val="32"/>
        </w:rPr>
      </w:pPr>
    </w:p>
    <w:p w14:paraId="5519B22E">
      <w:pPr>
        <w:widowControl/>
        <w:jc w:val="left"/>
        <w:rPr>
          <w:rFonts w:ascii="仿宋_GB2312" w:eastAsia="仿宋_GB2312"/>
          <w:sz w:val="32"/>
        </w:rPr>
      </w:pPr>
      <w:r>
        <w:rPr>
          <w:rFonts w:ascii="仿宋_GB2312" w:eastAsia="仿宋_GB2312"/>
          <w:sz w:val="32"/>
        </w:rPr>
        <w:drawing>
          <wp:anchor distT="0" distB="0" distL="114300" distR="114300" simplePos="0" relativeHeight="251665408" behindDoc="1" locked="0" layoutInCell="1" allowOverlap="1">
            <wp:simplePos x="0" y="0"/>
            <wp:positionH relativeFrom="margin">
              <wp:align>center</wp:align>
            </wp:positionH>
            <wp:positionV relativeFrom="margin">
              <wp:align>top</wp:align>
            </wp:positionV>
            <wp:extent cx="5341620" cy="7077075"/>
            <wp:effectExtent l="19050" t="0" r="0" b="0"/>
            <wp:wrapTopAndBottom/>
            <wp:docPr id="12" name="图片 3" descr="D:\应急管理\事故\2024\6.21\现场照片\微信图片_202406241056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D:\应急管理\事故\2024\6.21\现场照片\微信图片_202406241056111.jpg"/>
                    <pic:cNvPicPr>
                      <a:picLocks noChangeAspect="1" noChangeArrowheads="1"/>
                    </pic:cNvPicPr>
                  </pic:nvPicPr>
                  <pic:blipFill>
                    <a:blip r:embed="rId15" cstate="print"/>
                    <a:srcRect/>
                    <a:stretch>
                      <a:fillRect/>
                    </a:stretch>
                  </pic:blipFill>
                  <pic:spPr>
                    <a:xfrm>
                      <a:off x="0" y="0"/>
                      <a:ext cx="5341620" cy="7077075"/>
                    </a:xfrm>
                    <a:prstGeom prst="rect">
                      <a:avLst/>
                    </a:prstGeom>
                    <a:noFill/>
                    <a:ln w="9525">
                      <a:noFill/>
                      <a:miter lim="800000"/>
                      <a:headEnd/>
                      <a:tailEnd/>
                    </a:ln>
                  </pic:spPr>
                </pic:pic>
              </a:graphicData>
            </a:graphic>
          </wp:anchor>
        </w:drawing>
      </w:r>
      <w:r>
        <w:rPr>
          <w:rFonts w:ascii="仿宋_GB2312" w:eastAsia="仿宋_GB2312"/>
          <w:sz w:val="32"/>
        </w:rPr>
        <w:br w:type="page"/>
      </w:r>
    </w:p>
    <w:p w14:paraId="77C5A3E9">
      <w:pPr>
        <w:widowControl/>
        <w:jc w:val="left"/>
        <w:rPr>
          <w:rFonts w:ascii="仿宋_GB2312" w:eastAsia="仿宋_GB2312"/>
          <w:sz w:val="32"/>
        </w:rPr>
      </w:pPr>
    </w:p>
    <w:p w14:paraId="5C40B89D">
      <w:pPr>
        <w:spacing w:line="560" w:lineRule="exact"/>
        <w:ind w:firstLine="640" w:firstLineChars="200"/>
        <w:rPr>
          <w:rFonts w:ascii="仿宋_GB2312" w:eastAsia="仿宋_GB2312"/>
          <w:sz w:val="32"/>
        </w:rPr>
      </w:pPr>
    </w:p>
    <w:p w14:paraId="409F0D9B">
      <w:pPr>
        <w:widowControl/>
        <w:jc w:val="center"/>
        <w:rPr>
          <w:rFonts w:ascii="仿宋_GB2312" w:eastAsia="仿宋_GB2312"/>
          <w:sz w:val="32"/>
        </w:rPr>
      </w:pPr>
    </w:p>
    <w:p w14:paraId="0D35D4A0">
      <w:pPr>
        <w:widowControl/>
        <w:jc w:val="left"/>
        <w:rPr>
          <w:rFonts w:ascii="仿宋_GB2312" w:eastAsia="仿宋_GB2312"/>
          <w:sz w:val="32"/>
        </w:rPr>
      </w:pPr>
    </w:p>
    <w:p w14:paraId="72F1EE39">
      <w:pPr>
        <w:widowControl/>
        <w:jc w:val="left"/>
        <w:rPr>
          <w:rFonts w:ascii="仿宋_GB2312" w:eastAsia="仿宋_GB2312"/>
          <w:sz w:val="32"/>
        </w:rPr>
      </w:pPr>
    </w:p>
    <w:p w14:paraId="05EF858B">
      <w:pPr>
        <w:widowControl/>
        <w:jc w:val="left"/>
        <w:rPr>
          <w:rFonts w:ascii="仿宋_GB2312" w:eastAsia="仿宋_GB2312"/>
          <w:sz w:val="32"/>
        </w:rPr>
      </w:pPr>
    </w:p>
    <w:p w14:paraId="116A5693">
      <w:pPr>
        <w:widowControl/>
        <w:jc w:val="left"/>
        <w:rPr>
          <w:rFonts w:ascii="仿宋_GB2312" w:eastAsia="仿宋_GB2312"/>
          <w:sz w:val="32"/>
        </w:rPr>
      </w:pPr>
    </w:p>
    <w:p w14:paraId="7D5B49DE">
      <w:pPr>
        <w:widowControl/>
        <w:jc w:val="left"/>
        <w:rPr>
          <w:rFonts w:ascii="仿宋_GB2312" w:eastAsia="仿宋_GB2312"/>
          <w:sz w:val="32"/>
        </w:rPr>
      </w:pPr>
    </w:p>
    <w:p w14:paraId="6B798FA0">
      <w:pPr>
        <w:widowControl/>
        <w:jc w:val="left"/>
        <w:rPr>
          <w:rFonts w:ascii="仿宋_GB2312" w:eastAsia="仿宋_GB2312"/>
          <w:sz w:val="32"/>
        </w:rPr>
      </w:pPr>
    </w:p>
    <w:p w14:paraId="52742613">
      <w:pPr>
        <w:widowControl/>
        <w:jc w:val="left"/>
        <w:rPr>
          <w:rFonts w:ascii="仿宋_GB2312" w:eastAsia="仿宋_GB2312"/>
          <w:sz w:val="32"/>
        </w:rPr>
      </w:pPr>
    </w:p>
    <w:p w14:paraId="1976637C">
      <w:pPr>
        <w:widowControl/>
        <w:jc w:val="left"/>
        <w:rPr>
          <w:rFonts w:ascii="仿宋_GB2312" w:eastAsia="仿宋_GB2312"/>
          <w:sz w:val="32"/>
        </w:rPr>
      </w:pPr>
    </w:p>
    <w:p w14:paraId="0E594557">
      <w:pPr>
        <w:widowControl/>
        <w:jc w:val="left"/>
        <w:rPr>
          <w:rFonts w:ascii="仿宋_GB2312" w:eastAsia="仿宋_GB2312"/>
          <w:sz w:val="32"/>
        </w:rPr>
      </w:pPr>
    </w:p>
    <w:p w14:paraId="110D18ED">
      <w:pPr>
        <w:widowControl/>
        <w:jc w:val="left"/>
        <w:rPr>
          <w:rFonts w:ascii="仿宋_GB2312" w:eastAsia="仿宋_GB2312"/>
          <w:sz w:val="32"/>
        </w:rPr>
      </w:pPr>
    </w:p>
    <w:p w14:paraId="514E00A9">
      <w:pPr>
        <w:widowControl/>
        <w:jc w:val="left"/>
        <w:rPr>
          <w:rFonts w:ascii="仿宋_GB2312" w:eastAsia="仿宋_GB2312"/>
          <w:sz w:val="32"/>
        </w:rPr>
      </w:pPr>
    </w:p>
    <w:p w14:paraId="7650D39C">
      <w:pPr>
        <w:widowControl/>
        <w:jc w:val="left"/>
        <w:rPr>
          <w:rFonts w:ascii="仿宋_GB2312" w:eastAsia="仿宋_GB2312"/>
          <w:sz w:val="32"/>
        </w:rPr>
      </w:pPr>
    </w:p>
    <w:p w14:paraId="79041DB8">
      <w:pPr>
        <w:widowControl/>
        <w:jc w:val="left"/>
        <w:rPr>
          <w:rFonts w:ascii="仿宋_GB2312" w:eastAsia="仿宋_GB2312"/>
          <w:sz w:val="32"/>
        </w:rPr>
      </w:pPr>
    </w:p>
    <w:p w14:paraId="0E79E8AA">
      <w:pPr>
        <w:widowControl/>
        <w:jc w:val="left"/>
        <w:rPr>
          <w:rFonts w:ascii="仿宋_GB2312" w:eastAsia="仿宋_GB2312"/>
          <w:sz w:val="32"/>
        </w:rPr>
      </w:pPr>
    </w:p>
    <w:p w14:paraId="482C4E6D">
      <w:pPr>
        <w:widowControl/>
        <w:jc w:val="left"/>
        <w:rPr>
          <w:rFonts w:ascii="仿宋_GB2312" w:eastAsia="仿宋_GB2312"/>
          <w:sz w:val="32"/>
        </w:rPr>
      </w:pPr>
    </w:p>
    <w:p w14:paraId="02CB354C">
      <w:pPr>
        <w:widowControl/>
        <w:jc w:val="left"/>
        <w:rPr>
          <w:rFonts w:ascii="仿宋_GB2312" w:eastAsia="仿宋_GB2312"/>
          <w:sz w:val="32"/>
        </w:rPr>
      </w:pPr>
    </w:p>
    <w:p w14:paraId="0BED65AC">
      <w:pPr>
        <w:widowControl/>
        <w:jc w:val="center"/>
        <w:rPr>
          <w:rFonts w:ascii="仿宋_GB2312" w:eastAsia="仿宋_GB2312"/>
          <w:sz w:val="32"/>
        </w:rPr>
      </w:pPr>
    </w:p>
    <w:p w14:paraId="216DD616">
      <w:pPr>
        <w:widowControl/>
        <w:jc w:val="center"/>
        <w:rPr>
          <w:rFonts w:ascii="宋体" w:hAnsi="宋体"/>
          <w:sz w:val="28"/>
          <w:szCs w:val="28"/>
        </w:rPr>
      </w:pPr>
      <w:r>
        <w:rPr>
          <w:rFonts w:hint="eastAsia" w:ascii="宋体" w:hAnsi="宋体"/>
          <w:sz w:val="28"/>
          <w:szCs w:val="28"/>
        </w:rPr>
        <w:t>图5掉落的</w:t>
      </w:r>
      <w:r>
        <w:rPr>
          <w:rFonts w:hint="eastAsia" w:ascii="宋体" w:hAnsi="宋体"/>
          <w:sz w:val="28"/>
          <w:szCs w:val="28"/>
        </w:rPr>
        <w:drawing>
          <wp:anchor distT="0" distB="0" distL="114300" distR="114300" simplePos="0" relativeHeight="251660288" behindDoc="1" locked="0" layoutInCell="1" allowOverlap="1">
            <wp:simplePos x="0" y="0"/>
            <wp:positionH relativeFrom="margin">
              <wp:align>center</wp:align>
            </wp:positionH>
            <wp:positionV relativeFrom="margin">
              <wp:align>top</wp:align>
            </wp:positionV>
            <wp:extent cx="3526790" cy="7724775"/>
            <wp:effectExtent l="19050" t="0" r="0" b="0"/>
            <wp:wrapSquare wrapText="bothSides"/>
            <wp:docPr id="7" name="图片 4" descr="D:\应急管理\事故\2024\6.21\现场照片\微信图片_20240624105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D:\应急管理\事故\2024\6.21\现场照片\微信图片_20240624105426.jpg"/>
                    <pic:cNvPicPr>
                      <a:picLocks noChangeAspect="1" noChangeArrowheads="1"/>
                    </pic:cNvPicPr>
                  </pic:nvPicPr>
                  <pic:blipFill>
                    <a:blip r:embed="rId16" cstate="print"/>
                    <a:srcRect r="39092"/>
                    <a:stretch>
                      <a:fillRect/>
                    </a:stretch>
                  </pic:blipFill>
                  <pic:spPr>
                    <a:xfrm>
                      <a:off x="0" y="0"/>
                      <a:ext cx="3526790" cy="7724775"/>
                    </a:xfrm>
                    <a:prstGeom prst="rect">
                      <a:avLst/>
                    </a:prstGeom>
                    <a:noFill/>
                    <a:ln w="9525">
                      <a:noFill/>
                      <a:miter lim="800000"/>
                      <a:headEnd/>
                      <a:tailEnd/>
                    </a:ln>
                  </pic:spPr>
                </pic:pic>
              </a:graphicData>
            </a:graphic>
          </wp:anchor>
        </w:drawing>
      </w:r>
      <w:r>
        <w:rPr>
          <w:rFonts w:hint="eastAsia" w:ascii="宋体" w:hAnsi="宋体"/>
          <w:sz w:val="28"/>
          <w:szCs w:val="28"/>
        </w:rPr>
        <w:t>顶板</w:t>
      </w:r>
    </w:p>
    <w:p w14:paraId="789FCD22">
      <w:pPr>
        <w:widowControl/>
        <w:jc w:val="center"/>
        <w:rPr>
          <w:rFonts w:ascii="宋体" w:hAnsi="宋体"/>
          <w:sz w:val="28"/>
          <w:szCs w:val="28"/>
        </w:rPr>
      </w:pPr>
      <w:r>
        <w:rPr>
          <w:rFonts w:hint="eastAsia" w:ascii="宋体" w:hAnsi="宋体"/>
          <w:sz w:val="28"/>
          <w:szCs w:val="28"/>
        </w:rPr>
        <w:t>图6掉落的</w:t>
      </w:r>
      <w:r>
        <w:rPr>
          <w:rFonts w:hint="eastAsia" w:ascii="宋体" w:hAnsi="宋体"/>
          <w:sz w:val="28"/>
          <w:szCs w:val="28"/>
        </w:rPr>
        <w:drawing>
          <wp:anchor distT="0" distB="0" distL="114300" distR="114300" simplePos="0" relativeHeight="251659264" behindDoc="1" locked="0" layoutInCell="1" allowOverlap="1">
            <wp:simplePos x="0" y="0"/>
            <wp:positionH relativeFrom="margin">
              <wp:align>center</wp:align>
            </wp:positionH>
            <wp:positionV relativeFrom="margin">
              <wp:align>top</wp:align>
            </wp:positionV>
            <wp:extent cx="5880100" cy="7858125"/>
            <wp:effectExtent l="19050" t="0" r="6350" b="0"/>
            <wp:wrapSquare wrapText="bothSides"/>
            <wp:docPr id="2" name="图片 2" descr="D:\应急管理\事故\2024\6.21\现场照片\微信图片_20240624105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应急管理\事故\2024\6.21\现场照片\微信图片_20240624105429.jpg"/>
                    <pic:cNvPicPr>
                      <a:picLocks noChangeAspect="1" noChangeArrowheads="1"/>
                    </pic:cNvPicPr>
                  </pic:nvPicPr>
                  <pic:blipFill>
                    <a:blip r:embed="rId17" cstate="print"/>
                    <a:srcRect/>
                    <a:stretch>
                      <a:fillRect/>
                    </a:stretch>
                  </pic:blipFill>
                  <pic:spPr>
                    <a:xfrm>
                      <a:off x="0" y="0"/>
                      <a:ext cx="5880100" cy="7858125"/>
                    </a:xfrm>
                    <a:prstGeom prst="rect">
                      <a:avLst/>
                    </a:prstGeom>
                    <a:noFill/>
                    <a:ln w="9525">
                      <a:noFill/>
                      <a:miter lim="800000"/>
                      <a:headEnd/>
                      <a:tailEnd/>
                    </a:ln>
                  </pic:spPr>
                </pic:pic>
              </a:graphicData>
            </a:graphic>
          </wp:anchor>
        </w:drawing>
      </w:r>
      <w:r>
        <w:rPr>
          <w:rFonts w:hint="eastAsia" w:ascii="宋体" w:hAnsi="宋体"/>
          <w:sz w:val="28"/>
          <w:szCs w:val="28"/>
        </w:rPr>
        <w:t>风机</w:t>
      </w:r>
    </w:p>
    <w:p w14:paraId="7E63A10E">
      <w:pPr>
        <w:spacing w:line="560" w:lineRule="exact"/>
        <w:ind w:firstLine="643" w:firstLineChars="200"/>
        <w:outlineLvl w:val="1"/>
        <w:rPr>
          <w:rFonts w:ascii="楷体_GB2312" w:eastAsia="楷体_GB2312"/>
          <w:b/>
          <w:sz w:val="32"/>
        </w:rPr>
      </w:pPr>
      <w:r>
        <w:rPr>
          <w:rFonts w:ascii="楷体_GB2312" w:eastAsia="楷体_GB2312"/>
          <w:b/>
          <w:sz w:val="32"/>
        </w:rPr>
        <w:br w:type="page"/>
      </w:r>
      <w:bookmarkStart w:id="5" w:name="_Toc173918691"/>
      <w:r>
        <w:rPr>
          <w:rFonts w:hint="eastAsia" w:ascii="楷体_GB2312" w:eastAsia="楷体_GB2312"/>
          <w:b/>
          <w:sz w:val="32"/>
        </w:rPr>
        <w:t>（五）人员伤亡和直接经济损失情况</w:t>
      </w:r>
      <w:bookmarkEnd w:id="5"/>
    </w:p>
    <w:p w14:paraId="127A7960">
      <w:pPr>
        <w:spacing w:line="560" w:lineRule="exact"/>
        <w:ind w:firstLine="640" w:firstLineChars="200"/>
        <w:rPr>
          <w:rFonts w:ascii="仿宋_GB2312" w:eastAsia="仿宋_GB2312"/>
          <w:sz w:val="32"/>
        </w:rPr>
      </w:pPr>
      <w:r>
        <w:rPr>
          <w:rFonts w:hint="eastAsia" w:ascii="仿宋_GB2312" w:eastAsia="仿宋_GB2312"/>
          <w:sz w:val="32"/>
        </w:rPr>
        <w:t>本次事故共造成1人死亡。死者李建文，男，汉族，46岁，身份证号码：350629</w:t>
      </w:r>
      <w:r>
        <w:rPr>
          <w:rFonts w:hint="eastAsia" w:ascii="仿宋_GB2312" w:eastAsia="仿宋_GB2312"/>
          <w:sz w:val="32"/>
          <w:lang w:val="en-US" w:eastAsia="zh-CN"/>
        </w:rPr>
        <w:t>********</w:t>
      </w:r>
      <w:r>
        <w:rPr>
          <w:rFonts w:hint="eastAsia" w:ascii="仿宋_GB2312" w:eastAsia="仿宋_GB2312"/>
          <w:sz w:val="32"/>
        </w:rPr>
        <w:t>003X，福建省华安县华丰镇下坂村人。直接经济损失约人民币37万元（卓逸窗饰公司支付死亡赔偿款37万元，因一次性工亡补助金、丧葬补助金、供养亲属抚恤金等费用尚在办理阶段，暂时无法统计）。</w:t>
      </w:r>
    </w:p>
    <w:p w14:paraId="630AA999">
      <w:pPr>
        <w:spacing w:line="560" w:lineRule="exact"/>
        <w:ind w:firstLine="640" w:firstLineChars="200"/>
        <w:outlineLvl w:val="0"/>
        <w:rPr>
          <w:rFonts w:ascii="黑体" w:hAnsi="黑体" w:eastAsia="黑体"/>
          <w:sz w:val="32"/>
        </w:rPr>
      </w:pPr>
      <w:bookmarkStart w:id="6" w:name="_Toc173918692"/>
      <w:r>
        <w:rPr>
          <w:rFonts w:hint="eastAsia" w:ascii="黑体" w:hAnsi="黑体" w:eastAsia="黑体"/>
          <w:sz w:val="32"/>
        </w:rPr>
        <w:t>二、事故应急处置及评估情况</w:t>
      </w:r>
      <w:bookmarkEnd w:id="6"/>
      <w:bookmarkStart w:id="29" w:name="_GoBack"/>
      <w:bookmarkEnd w:id="29"/>
    </w:p>
    <w:p w14:paraId="2A444983">
      <w:pPr>
        <w:spacing w:line="560" w:lineRule="exact"/>
        <w:ind w:firstLine="643" w:firstLineChars="200"/>
        <w:outlineLvl w:val="1"/>
        <w:rPr>
          <w:rFonts w:ascii="楷体_GB2312" w:eastAsia="楷体_GB2312"/>
          <w:b/>
          <w:sz w:val="32"/>
        </w:rPr>
      </w:pPr>
      <w:bookmarkStart w:id="7" w:name="_Toc173918693"/>
      <w:r>
        <w:rPr>
          <w:rFonts w:hint="eastAsia" w:ascii="楷体_GB2312" w:eastAsia="楷体_GB2312"/>
          <w:b/>
          <w:sz w:val="32"/>
        </w:rPr>
        <w:t>（一）事故信息接报及响应情况</w:t>
      </w:r>
      <w:bookmarkEnd w:id="7"/>
    </w:p>
    <w:p w14:paraId="6DB16F28">
      <w:pPr>
        <w:spacing w:line="560" w:lineRule="exact"/>
        <w:ind w:firstLine="640" w:firstLineChars="200"/>
        <w:rPr>
          <w:rFonts w:ascii="仿宋_GB2312" w:eastAsia="仿宋_GB2312"/>
          <w:sz w:val="32"/>
        </w:rPr>
      </w:pPr>
      <w:r>
        <w:rPr>
          <w:rFonts w:hint="eastAsia" w:ascii="仿宋_GB2312" w:eastAsia="仿宋_GB2312"/>
          <w:sz w:val="32"/>
        </w:rPr>
        <w:t>事故发生后，现场工人立即呼救，将事故向吴建平报告，吴建平第一时间赶到现场，工人刘荣彬于14时03分拨打120急救电话求救。接报后，华安经济开发区、华安县公安局、华安县应急局等单位立即派员开展应急处置工作，并按照规定及时上报事故信息。</w:t>
      </w:r>
    </w:p>
    <w:p w14:paraId="39FF20FC">
      <w:pPr>
        <w:spacing w:line="560" w:lineRule="exact"/>
        <w:ind w:firstLine="643" w:firstLineChars="200"/>
        <w:outlineLvl w:val="1"/>
        <w:rPr>
          <w:rFonts w:ascii="楷体_GB2312" w:eastAsia="楷体_GB2312"/>
          <w:b/>
          <w:sz w:val="32"/>
        </w:rPr>
      </w:pPr>
      <w:bookmarkStart w:id="8" w:name="_Toc173918694"/>
      <w:r>
        <w:rPr>
          <w:rFonts w:hint="eastAsia" w:ascii="楷体_GB2312" w:eastAsia="楷体_GB2312"/>
          <w:b/>
          <w:sz w:val="32"/>
        </w:rPr>
        <w:t>（二）事故现场应急处置情况</w:t>
      </w:r>
      <w:bookmarkEnd w:id="8"/>
    </w:p>
    <w:p w14:paraId="74EFFFC1">
      <w:pPr>
        <w:spacing w:line="560" w:lineRule="exact"/>
        <w:ind w:firstLine="640" w:firstLineChars="200"/>
        <w:rPr>
          <w:rFonts w:ascii="仿宋_GB2312" w:eastAsia="仿宋_GB2312"/>
          <w:sz w:val="32"/>
        </w:rPr>
      </w:pPr>
      <w:r>
        <w:rPr>
          <w:rFonts w:hint="eastAsia" w:ascii="仿宋_GB2312" w:eastAsia="仿宋_GB2312"/>
          <w:sz w:val="32"/>
        </w:rPr>
        <w:t>事故发生后，黄本梁要求立即抢救伤员，管控风险点，禁止无关人员进入，做好善后处置工作。车间主任刘欢欢、喷漆班组班组长张省伟指挥现场工人搬离现场掉落杂物，调用急救箱抢救受伤人员，吴建平带队指挥疏散围观人员，保障120急救车进厂路线通畅。</w:t>
      </w:r>
    </w:p>
    <w:p w14:paraId="3D322557">
      <w:pPr>
        <w:spacing w:line="560" w:lineRule="exact"/>
        <w:ind w:firstLine="643" w:firstLineChars="200"/>
        <w:outlineLvl w:val="1"/>
        <w:rPr>
          <w:rFonts w:ascii="楷体_GB2312" w:eastAsia="楷体_GB2312"/>
          <w:b/>
          <w:sz w:val="32"/>
        </w:rPr>
      </w:pPr>
      <w:bookmarkStart w:id="9" w:name="_Toc173918695"/>
      <w:r>
        <w:rPr>
          <w:rFonts w:hint="eastAsia" w:ascii="楷体_GB2312" w:eastAsia="楷体_GB2312"/>
          <w:b/>
          <w:sz w:val="32"/>
        </w:rPr>
        <w:t>（三）医疗救治和善后情况</w:t>
      </w:r>
      <w:bookmarkEnd w:id="9"/>
    </w:p>
    <w:p w14:paraId="7ABE670D">
      <w:pPr>
        <w:spacing w:line="560" w:lineRule="exact"/>
        <w:ind w:firstLine="640" w:firstLineChars="200"/>
        <w:rPr>
          <w:rFonts w:ascii="仿宋_GB2312" w:eastAsia="仿宋_GB2312"/>
          <w:sz w:val="32"/>
        </w:rPr>
      </w:pPr>
      <w:r>
        <w:rPr>
          <w:rFonts w:hint="eastAsia" w:ascii="仿宋_GB2312" w:eastAsia="仿宋_GB2312"/>
          <w:sz w:val="32"/>
        </w:rPr>
        <w:t>14时23分许，120急救车到达现场，对伤者进行紧急抢救，14时30分许将伤者送往联勤保障部队第九○九医院抢救。18时44分许，伤者经抢救无效死亡。</w:t>
      </w:r>
    </w:p>
    <w:p w14:paraId="79A50E75">
      <w:pPr>
        <w:spacing w:line="560" w:lineRule="exact"/>
        <w:ind w:firstLine="640" w:firstLineChars="200"/>
        <w:rPr>
          <w:rFonts w:ascii="仿宋_GB2312" w:eastAsia="仿宋_GB2312"/>
          <w:sz w:val="32"/>
        </w:rPr>
      </w:pPr>
      <w:r>
        <w:rPr>
          <w:rFonts w:hint="eastAsia" w:ascii="仿宋_GB2312" w:eastAsia="仿宋_GB2312"/>
          <w:sz w:val="32"/>
        </w:rPr>
        <w:t>事故发生后，华安经济开发区管委会、丰山镇人民政府积极组织卓逸窗饰公司做好死者家属安抚等相关善后和赔偿协商工作。6月26日，卓逸窗饰公司与死者家属签订人民调解协议书（漳华丰调〔2024〕19号），死者尸体于6月29日火化。</w:t>
      </w:r>
    </w:p>
    <w:p w14:paraId="01D9C3BC">
      <w:pPr>
        <w:spacing w:line="560" w:lineRule="exact"/>
        <w:ind w:firstLine="643" w:firstLineChars="200"/>
        <w:outlineLvl w:val="1"/>
        <w:rPr>
          <w:rFonts w:ascii="楷体_GB2312" w:eastAsia="楷体_GB2312"/>
          <w:b/>
          <w:sz w:val="32"/>
        </w:rPr>
      </w:pPr>
      <w:bookmarkStart w:id="10" w:name="_Toc173918696"/>
      <w:r>
        <w:rPr>
          <w:rFonts w:hint="eastAsia" w:ascii="楷体_GB2312" w:eastAsia="楷体_GB2312"/>
          <w:b/>
          <w:sz w:val="32"/>
        </w:rPr>
        <w:t>（四）事故应急处置评估</w:t>
      </w:r>
      <w:bookmarkEnd w:id="10"/>
    </w:p>
    <w:p w14:paraId="7E8C9BD9">
      <w:pPr>
        <w:spacing w:line="560" w:lineRule="exact"/>
        <w:ind w:firstLine="640" w:firstLineChars="200"/>
        <w:rPr>
          <w:rFonts w:ascii="仿宋_GB2312" w:eastAsia="仿宋_GB2312"/>
          <w:sz w:val="32"/>
        </w:rPr>
      </w:pPr>
      <w:r>
        <w:rPr>
          <w:rFonts w:hint="eastAsia" w:ascii="仿宋_GB2312" w:eastAsia="仿宋_GB2312"/>
          <w:sz w:val="32"/>
        </w:rPr>
        <w:t>事故发生后，各职能部门应急响应及时，现场处置措施得当，未发生次生衍生事故，本次事故应急处置得当。</w:t>
      </w:r>
    </w:p>
    <w:p w14:paraId="2BC45543">
      <w:pPr>
        <w:spacing w:line="560" w:lineRule="exact"/>
        <w:ind w:firstLine="640" w:firstLineChars="200"/>
        <w:outlineLvl w:val="0"/>
        <w:rPr>
          <w:rFonts w:ascii="黑体" w:hAnsi="黑体" w:eastAsia="黑体"/>
          <w:sz w:val="32"/>
        </w:rPr>
      </w:pPr>
      <w:bookmarkStart w:id="11" w:name="_Toc173918697"/>
      <w:r>
        <w:rPr>
          <w:rFonts w:hint="eastAsia" w:ascii="黑体" w:hAnsi="黑体" w:eastAsia="黑体"/>
          <w:sz w:val="32"/>
        </w:rPr>
        <w:t>三、事故原因分析</w:t>
      </w:r>
      <w:bookmarkEnd w:id="11"/>
    </w:p>
    <w:p w14:paraId="06B97861">
      <w:pPr>
        <w:spacing w:line="560" w:lineRule="exact"/>
        <w:ind w:firstLine="643" w:firstLineChars="200"/>
        <w:outlineLvl w:val="1"/>
        <w:rPr>
          <w:rFonts w:ascii="楷体_GB2312" w:eastAsia="楷体_GB2312"/>
          <w:b/>
          <w:sz w:val="32"/>
        </w:rPr>
      </w:pPr>
      <w:bookmarkStart w:id="12" w:name="_Toc173918698"/>
      <w:r>
        <w:rPr>
          <w:rFonts w:hint="eastAsia" w:ascii="楷体_GB2312" w:eastAsia="楷体_GB2312"/>
          <w:b/>
          <w:sz w:val="32"/>
        </w:rPr>
        <w:t>（一）直接原因分析</w:t>
      </w:r>
      <w:bookmarkEnd w:id="12"/>
    </w:p>
    <w:p w14:paraId="2CF6796E">
      <w:pPr>
        <w:spacing w:line="560" w:lineRule="exact"/>
        <w:ind w:firstLine="640" w:firstLineChars="200"/>
        <w:rPr>
          <w:rFonts w:ascii="仿宋_GB2312" w:eastAsia="仿宋_GB2312"/>
          <w:sz w:val="32"/>
        </w:rPr>
      </w:pPr>
      <w:r>
        <w:rPr>
          <w:rFonts w:hint="eastAsia" w:ascii="仿宋_GB2312" w:eastAsia="仿宋_GB2312"/>
          <w:sz w:val="32"/>
        </w:rPr>
        <w:t>死者李建文安全意识淡薄，在未佩戴和使用安全带</w:t>
      </w:r>
      <w:r>
        <w:rPr>
          <w:rStyle w:val="14"/>
          <w:rFonts w:ascii="仿宋_GB2312" w:eastAsia="仿宋_GB2312"/>
          <w:sz w:val="32"/>
        </w:rPr>
        <w:footnoteReference w:id="6" w:customMarkFollows="1"/>
        <w:t>[</w:t>
      </w:r>
      <w:r>
        <w:rPr>
          <w:rStyle w:val="14"/>
          <w:rFonts w:hint="eastAsia" w:ascii="仿宋_GB2312" w:eastAsia="仿宋_GB2312"/>
          <w:sz w:val="32"/>
        </w:rPr>
        <w:t>7</w:t>
      </w:r>
      <w:r>
        <w:rPr>
          <w:rStyle w:val="14"/>
          <w:rFonts w:ascii="仿宋_GB2312" w:eastAsia="仿宋_GB2312"/>
          <w:sz w:val="32"/>
        </w:rPr>
        <w:t>]</w:t>
      </w:r>
      <w:r>
        <w:rPr>
          <w:rFonts w:hint="eastAsia" w:ascii="仿宋_GB2312" w:eastAsia="仿宋_GB2312"/>
          <w:sz w:val="32"/>
        </w:rPr>
        <w:t>的情况下，无证上岗作业</w:t>
      </w:r>
      <w:r>
        <w:rPr>
          <w:rStyle w:val="14"/>
          <w:rFonts w:ascii="仿宋_GB2312" w:eastAsia="仿宋_GB2312"/>
          <w:sz w:val="32"/>
        </w:rPr>
        <w:footnoteReference w:id="7" w:customMarkFollows="1"/>
        <w:t>[</w:t>
      </w:r>
      <w:r>
        <w:rPr>
          <w:rStyle w:val="14"/>
          <w:rFonts w:hint="eastAsia" w:ascii="仿宋_GB2312" w:eastAsia="仿宋_GB2312"/>
          <w:sz w:val="32"/>
        </w:rPr>
        <w:t>8</w:t>
      </w:r>
      <w:r>
        <w:rPr>
          <w:rStyle w:val="14"/>
          <w:rFonts w:ascii="仿宋_GB2312" w:eastAsia="仿宋_GB2312"/>
          <w:sz w:val="32"/>
        </w:rPr>
        <w:t>]</w:t>
      </w:r>
      <w:r>
        <w:rPr>
          <w:rFonts w:hint="eastAsia" w:ascii="仿宋_GB2312" w:eastAsia="仿宋_GB2312"/>
          <w:sz w:val="32"/>
        </w:rPr>
        <w:t>是导致事故发生的直接原因。</w:t>
      </w:r>
    </w:p>
    <w:p w14:paraId="11FA9B2B">
      <w:pPr>
        <w:spacing w:line="560" w:lineRule="exact"/>
        <w:ind w:firstLine="643" w:firstLineChars="200"/>
        <w:outlineLvl w:val="1"/>
        <w:rPr>
          <w:rFonts w:ascii="楷体_GB2312" w:eastAsia="楷体_GB2312"/>
          <w:b/>
          <w:sz w:val="32"/>
        </w:rPr>
      </w:pPr>
      <w:bookmarkStart w:id="13" w:name="_Toc173918699"/>
      <w:r>
        <w:rPr>
          <w:rFonts w:hint="eastAsia" w:ascii="楷体_GB2312" w:eastAsia="楷体_GB2312"/>
          <w:b/>
          <w:sz w:val="32"/>
        </w:rPr>
        <w:t>（二）其他可能因素排除</w:t>
      </w:r>
      <w:bookmarkEnd w:id="13"/>
    </w:p>
    <w:p w14:paraId="7B1BD9E7">
      <w:pPr>
        <w:spacing w:line="560" w:lineRule="exact"/>
        <w:ind w:firstLine="640" w:firstLineChars="200"/>
        <w:rPr>
          <w:rFonts w:ascii="仿宋_GB2312" w:eastAsia="仿宋_GB2312"/>
          <w:sz w:val="32"/>
        </w:rPr>
      </w:pPr>
      <w:r>
        <w:rPr>
          <w:rFonts w:hint="eastAsia" w:ascii="仿宋_GB2312" w:eastAsia="仿宋_GB2312"/>
          <w:sz w:val="32"/>
        </w:rPr>
        <w:t>通过事故现场勘查、询问分析，排除人为故意破坏、突发灾害因素。</w:t>
      </w:r>
    </w:p>
    <w:p w14:paraId="00F4EBDC">
      <w:pPr>
        <w:spacing w:line="560" w:lineRule="exact"/>
        <w:ind w:firstLine="643" w:firstLineChars="200"/>
        <w:outlineLvl w:val="1"/>
        <w:rPr>
          <w:rFonts w:ascii="楷体_GB2312" w:eastAsia="楷体_GB2312"/>
          <w:b/>
          <w:sz w:val="32"/>
        </w:rPr>
      </w:pPr>
      <w:bookmarkStart w:id="14" w:name="_Toc173918700"/>
      <w:r>
        <w:rPr>
          <w:rFonts w:hint="eastAsia" w:ascii="楷体_GB2312" w:eastAsia="楷体_GB2312"/>
          <w:b/>
          <w:sz w:val="32"/>
        </w:rPr>
        <w:t>（三）间接原因分析</w:t>
      </w:r>
      <w:bookmarkEnd w:id="14"/>
    </w:p>
    <w:p w14:paraId="51513718">
      <w:pPr>
        <w:spacing w:line="560" w:lineRule="exact"/>
        <w:ind w:firstLine="640" w:firstLineChars="200"/>
        <w:rPr>
          <w:rFonts w:ascii="仿宋_GB2312" w:eastAsia="仿宋_GB2312"/>
          <w:sz w:val="32"/>
        </w:rPr>
      </w:pPr>
      <w:r>
        <w:rPr>
          <w:rFonts w:hint="eastAsia" w:ascii="仿宋_GB2312" w:eastAsia="仿宋_GB2312"/>
          <w:sz w:val="32"/>
        </w:rPr>
        <w:t>1.卓逸窗饰公司对从业人员安全生产教育和培训不到位</w:t>
      </w:r>
      <w:r>
        <w:rPr>
          <w:rStyle w:val="14"/>
          <w:rFonts w:ascii="仿宋_GB2312" w:eastAsia="仿宋_GB2312"/>
          <w:sz w:val="32"/>
        </w:rPr>
        <w:footnoteReference w:id="8" w:customMarkFollows="1"/>
        <w:t>[</w:t>
      </w:r>
      <w:r>
        <w:rPr>
          <w:rStyle w:val="14"/>
          <w:rFonts w:hint="eastAsia" w:ascii="仿宋_GB2312" w:eastAsia="仿宋_GB2312"/>
          <w:sz w:val="32"/>
        </w:rPr>
        <w:t>9</w:t>
      </w:r>
      <w:r>
        <w:rPr>
          <w:rStyle w:val="14"/>
          <w:rFonts w:ascii="仿宋_GB2312" w:eastAsia="仿宋_GB2312"/>
          <w:sz w:val="32"/>
        </w:rPr>
        <w:t>]</w:t>
      </w:r>
      <w:r>
        <w:rPr>
          <w:rFonts w:hint="eastAsia" w:ascii="仿宋_GB2312" w:eastAsia="仿宋_GB2312"/>
          <w:sz w:val="32"/>
        </w:rPr>
        <w:t>。未对高处作业人员进行高处作业相关安全教育和培训。</w:t>
      </w:r>
    </w:p>
    <w:p w14:paraId="7645AB6E">
      <w:pPr>
        <w:spacing w:line="560" w:lineRule="exact"/>
        <w:ind w:firstLine="640" w:firstLineChars="200"/>
        <w:rPr>
          <w:rFonts w:ascii="仿宋_GB2312" w:eastAsia="仿宋_GB2312"/>
          <w:sz w:val="32"/>
        </w:rPr>
      </w:pPr>
      <w:r>
        <w:rPr>
          <w:rFonts w:hint="eastAsia" w:ascii="仿宋_GB2312" w:eastAsia="仿宋_GB2312"/>
          <w:sz w:val="32"/>
        </w:rPr>
        <w:t>2.卓逸窗饰公司安全风险分级管控和生产安全事故隐患排查治理制度落实不到位</w:t>
      </w:r>
      <w:r>
        <w:rPr>
          <w:rStyle w:val="14"/>
          <w:rFonts w:ascii="仿宋_GB2312" w:eastAsia="仿宋_GB2312"/>
          <w:sz w:val="32"/>
        </w:rPr>
        <w:footnoteReference w:id="9" w:customMarkFollows="1"/>
        <w:t>[</w:t>
      </w:r>
      <w:r>
        <w:rPr>
          <w:rStyle w:val="14"/>
          <w:rFonts w:hint="eastAsia" w:ascii="仿宋_GB2312" w:eastAsia="仿宋_GB2312"/>
          <w:sz w:val="32"/>
        </w:rPr>
        <w:t>10</w:t>
      </w:r>
      <w:r>
        <w:rPr>
          <w:rStyle w:val="14"/>
          <w:rFonts w:ascii="仿宋_GB2312" w:eastAsia="仿宋_GB2312"/>
          <w:sz w:val="32"/>
        </w:rPr>
        <w:t>]</w:t>
      </w:r>
      <w:r>
        <w:rPr>
          <w:rFonts w:hint="eastAsia" w:ascii="仿宋_GB2312" w:eastAsia="仿宋_GB2312"/>
          <w:sz w:val="32"/>
        </w:rPr>
        <w:t>。高处作业风险管控措施落实不到位，未及时发现并消除作业现场事故隐患。</w:t>
      </w:r>
    </w:p>
    <w:p w14:paraId="3CC43AF9">
      <w:pPr>
        <w:spacing w:line="560" w:lineRule="exact"/>
        <w:ind w:firstLine="640" w:firstLineChars="200"/>
        <w:rPr>
          <w:rFonts w:ascii="仿宋_GB2312" w:eastAsia="仿宋_GB2312"/>
          <w:sz w:val="32"/>
        </w:rPr>
      </w:pPr>
      <w:r>
        <w:rPr>
          <w:rFonts w:hint="eastAsia" w:ascii="仿宋_GB2312" w:eastAsia="仿宋_GB2312"/>
          <w:sz w:val="32"/>
        </w:rPr>
        <w:t>3.卓逸窗饰公司未能确保劳动防护用品的正常使用</w:t>
      </w:r>
      <w:r>
        <w:rPr>
          <w:rStyle w:val="14"/>
          <w:rFonts w:ascii="仿宋_GB2312" w:eastAsia="仿宋_GB2312"/>
          <w:sz w:val="32"/>
        </w:rPr>
        <w:footnoteReference w:id="10" w:customMarkFollows="1"/>
        <w:t>[</w:t>
      </w:r>
      <w:r>
        <w:rPr>
          <w:rStyle w:val="14"/>
          <w:rFonts w:hint="eastAsia" w:ascii="仿宋_GB2312" w:eastAsia="仿宋_GB2312"/>
          <w:sz w:val="32"/>
        </w:rPr>
        <w:t>11</w:t>
      </w:r>
      <w:r>
        <w:rPr>
          <w:rStyle w:val="14"/>
          <w:rFonts w:ascii="仿宋_GB2312" w:eastAsia="仿宋_GB2312"/>
          <w:sz w:val="32"/>
        </w:rPr>
        <w:t>]</w:t>
      </w:r>
      <w:r>
        <w:rPr>
          <w:rFonts w:hint="eastAsia" w:ascii="仿宋_GB2312" w:eastAsia="仿宋_GB2312"/>
          <w:sz w:val="32"/>
        </w:rPr>
        <w:t>。未在喷漆车间屋顶设置牢固的构件或物体用于栓挂安全带，导致安全带无法正常使用。</w:t>
      </w:r>
    </w:p>
    <w:p w14:paraId="232882D3">
      <w:pPr>
        <w:spacing w:line="560" w:lineRule="exact"/>
        <w:ind w:firstLine="640" w:firstLineChars="200"/>
        <w:outlineLvl w:val="0"/>
        <w:rPr>
          <w:rFonts w:ascii="黑体" w:hAnsi="黑体" w:eastAsia="黑体"/>
          <w:sz w:val="32"/>
        </w:rPr>
      </w:pPr>
      <w:bookmarkStart w:id="15" w:name="_Toc173918701"/>
      <w:r>
        <w:rPr>
          <w:rFonts w:hint="eastAsia" w:ascii="黑体" w:hAnsi="黑体" w:eastAsia="黑体"/>
          <w:sz w:val="32"/>
        </w:rPr>
        <w:t>四、有关责任单位存在的主要问题及履职情况</w:t>
      </w:r>
      <w:bookmarkEnd w:id="15"/>
    </w:p>
    <w:p w14:paraId="38ADD822">
      <w:pPr>
        <w:spacing w:line="560" w:lineRule="exact"/>
        <w:ind w:firstLine="643" w:firstLineChars="200"/>
        <w:outlineLvl w:val="1"/>
        <w:rPr>
          <w:rFonts w:ascii="楷体_GB2312" w:eastAsia="楷体_GB2312"/>
          <w:b/>
          <w:sz w:val="32"/>
        </w:rPr>
      </w:pPr>
      <w:bookmarkStart w:id="16" w:name="_Toc173918702"/>
      <w:r>
        <w:rPr>
          <w:rFonts w:hint="eastAsia" w:ascii="楷体_GB2312" w:eastAsia="楷体_GB2312"/>
          <w:b/>
          <w:sz w:val="32"/>
        </w:rPr>
        <w:t>（一）事故相关单位</w:t>
      </w:r>
      <w:bookmarkEnd w:id="16"/>
    </w:p>
    <w:p w14:paraId="2F968CD7">
      <w:pPr>
        <w:spacing w:line="560" w:lineRule="exact"/>
        <w:ind w:firstLine="643" w:firstLineChars="200"/>
        <w:rPr>
          <w:rFonts w:ascii="仿宋_GB2312" w:eastAsia="仿宋_GB2312"/>
          <w:sz w:val="32"/>
        </w:rPr>
      </w:pPr>
      <w:r>
        <w:rPr>
          <w:rFonts w:hint="eastAsia" w:ascii="仿宋_GB2312" w:eastAsia="仿宋_GB2312"/>
          <w:b/>
          <w:sz w:val="32"/>
        </w:rPr>
        <w:t>1.卓逸窗饰公司：</w:t>
      </w:r>
      <w:r>
        <w:rPr>
          <w:rFonts w:hint="eastAsia" w:ascii="仿宋_GB2312" w:eastAsia="仿宋_GB2312"/>
          <w:sz w:val="32"/>
        </w:rPr>
        <w:t>对从业人员安全生产教育和培训不到位；未能确保劳动防护用品的正常使用；安全风险分级管控和生产安全事故隐患排查治理制度落实不到位。</w:t>
      </w:r>
    </w:p>
    <w:p w14:paraId="5B13C3B9">
      <w:pPr>
        <w:spacing w:line="560" w:lineRule="exact"/>
        <w:ind w:firstLine="643" w:firstLineChars="200"/>
        <w:outlineLvl w:val="1"/>
        <w:rPr>
          <w:rFonts w:ascii="楷体_GB2312" w:eastAsia="楷体_GB2312"/>
          <w:b/>
          <w:sz w:val="32"/>
        </w:rPr>
      </w:pPr>
      <w:bookmarkStart w:id="17" w:name="_Toc173918703"/>
      <w:r>
        <w:rPr>
          <w:rFonts w:hint="eastAsia" w:ascii="楷体_GB2312" w:eastAsia="楷体_GB2312"/>
          <w:b/>
          <w:sz w:val="32"/>
        </w:rPr>
        <w:t>（二）事故发生地相关监管部门履职情况</w:t>
      </w:r>
      <w:bookmarkEnd w:id="17"/>
    </w:p>
    <w:p w14:paraId="74E91D43">
      <w:pPr>
        <w:spacing w:line="560" w:lineRule="exact"/>
        <w:ind w:firstLine="643" w:firstLineChars="200"/>
        <w:rPr>
          <w:rFonts w:ascii="仿宋_GB2312" w:eastAsia="仿宋_GB2312"/>
          <w:b/>
          <w:sz w:val="32"/>
        </w:rPr>
      </w:pPr>
      <w:r>
        <w:rPr>
          <w:rFonts w:hint="eastAsia" w:ascii="仿宋_GB2312" w:eastAsia="仿宋_GB2312"/>
          <w:b/>
          <w:sz w:val="32"/>
        </w:rPr>
        <w:t>1.华安县应急局</w:t>
      </w:r>
    </w:p>
    <w:p w14:paraId="18CA315B">
      <w:pPr>
        <w:spacing w:line="560" w:lineRule="exact"/>
        <w:ind w:firstLine="640" w:firstLineChars="200"/>
        <w:rPr>
          <w:rFonts w:ascii="仿宋_GB2312" w:eastAsia="仿宋_GB2312"/>
          <w:sz w:val="32"/>
        </w:rPr>
      </w:pPr>
      <w:r>
        <w:rPr>
          <w:rFonts w:hint="eastAsia" w:ascii="仿宋_GB2312" w:eastAsia="仿宋_GB2312"/>
          <w:sz w:val="32"/>
        </w:rPr>
        <w:t>华安县应急局按照年度工作计划对全县工贸企业开展日常监督检查及专项检查工作，2024年全年计划检查工贸企业42家，1-7月实际检查78家（卓逸窗饰公司未纳入2024年度工贸行业安全生产监督检查计划，非重点监管企业），排查隐患392个，已整改到位360个，剩余32个正在跟踪整改中，其中闭环整改重大隐患6个，实施行政处罚17次，罚款10.2万元；开展工贸行业企业安全生产教育培训6场次，覆盖130余家企业，共计333人次（其中，4月24日组织对卓逸窗饰公司在内的工贸企业开展包括高空作业在内的安全作业管理培训，6月5日组织卓逸窗饰公司在内的工贸企业参加工贸企业疏散逃生应急演练观摩活动，6月11日邀请专家对卓逸窗饰公司在内的工贸企业开展安全风险管控相关知识培训）。</w:t>
      </w:r>
    </w:p>
    <w:p w14:paraId="3F9D9B93">
      <w:pPr>
        <w:spacing w:line="560" w:lineRule="exact"/>
        <w:ind w:firstLine="643" w:firstLineChars="200"/>
        <w:rPr>
          <w:rFonts w:ascii="仿宋_GB2312" w:eastAsia="仿宋_GB2312"/>
          <w:b/>
          <w:sz w:val="32"/>
        </w:rPr>
      </w:pPr>
      <w:r>
        <w:rPr>
          <w:rFonts w:hint="eastAsia" w:ascii="仿宋_GB2312" w:eastAsia="仿宋_GB2312"/>
          <w:b/>
          <w:sz w:val="32"/>
        </w:rPr>
        <w:t>2.华安经济开发区管委会</w:t>
      </w:r>
    </w:p>
    <w:p w14:paraId="6459B514">
      <w:pPr>
        <w:spacing w:line="560" w:lineRule="exact"/>
        <w:ind w:firstLine="640" w:firstLineChars="200"/>
        <w:rPr>
          <w:rFonts w:ascii="仿宋_GB2312" w:eastAsia="仿宋_GB2312"/>
          <w:sz w:val="32"/>
        </w:rPr>
      </w:pPr>
      <w:r>
        <w:rPr>
          <w:rFonts w:hint="eastAsia" w:ascii="仿宋_GB2312" w:eastAsia="仿宋_GB2312"/>
          <w:sz w:val="32"/>
        </w:rPr>
        <w:t>截至2024年7月，华安经济开发区管委会共召开园区工贸企业安全生产相关会议6场次，其中卓逸窗饰公司参加了第一、二季度防范重特大生产安全事故会议、安全生产治本攻坚三年行动动员部署会、风险分级管控及隐患排查治理双预防体系培训会、华安县有限空间作业安全知识培训。</w:t>
      </w:r>
    </w:p>
    <w:p w14:paraId="20F14728">
      <w:pPr>
        <w:spacing w:line="560" w:lineRule="exact"/>
        <w:ind w:firstLine="640" w:firstLineChars="200"/>
        <w:rPr>
          <w:rFonts w:ascii="仿宋_GB2312" w:eastAsia="仿宋_GB2312"/>
          <w:sz w:val="32"/>
        </w:rPr>
      </w:pPr>
      <w:r>
        <w:rPr>
          <w:rFonts w:hint="eastAsia" w:ascii="仿宋_GB2312" w:eastAsia="仿宋_GB2312"/>
          <w:sz w:val="32"/>
        </w:rPr>
        <w:t>组织园区企业（含卓逸窗饰公司）观看《安全生产责任在肩》《人人讲安全个个会应急-畅通生命通道》《电动自行车火灾防范》《机械伤害事故警示片》《气瓶安全事故警示片》等安全教育片各1次，开展特种作业人员熔化焊接与热切割作业培训1场次。组织园区企业（含卓逸窗饰公司）安全生产知识考试1次。</w:t>
      </w:r>
    </w:p>
    <w:p w14:paraId="005BC0D8">
      <w:pPr>
        <w:spacing w:line="560" w:lineRule="exact"/>
        <w:ind w:firstLine="640" w:firstLineChars="200"/>
        <w:rPr>
          <w:rFonts w:ascii="仿宋_GB2312" w:eastAsia="仿宋_GB2312"/>
          <w:sz w:val="32"/>
        </w:rPr>
      </w:pPr>
      <w:r>
        <w:rPr>
          <w:rFonts w:hint="eastAsia" w:ascii="仿宋_GB2312" w:eastAsia="仿宋_GB2312"/>
          <w:sz w:val="32"/>
        </w:rPr>
        <w:t>协助华安县应急局开展检查9次，发现隐患91个，已整改81个，其中由于未到整改时限，有10处未完成整改；自主开展检查45家次，发现隐患134个，已整改134个。</w:t>
      </w:r>
    </w:p>
    <w:p w14:paraId="0E02FEE5">
      <w:pPr>
        <w:spacing w:line="560" w:lineRule="exact"/>
        <w:ind w:firstLine="640" w:firstLineChars="200"/>
        <w:rPr>
          <w:rFonts w:ascii="仿宋_GB2312" w:eastAsia="仿宋_GB2312"/>
          <w:sz w:val="32"/>
        </w:rPr>
      </w:pPr>
      <w:r>
        <w:rPr>
          <w:rFonts w:hint="eastAsia" w:ascii="仿宋_GB2312" w:eastAsia="仿宋_GB2312"/>
          <w:sz w:val="32"/>
        </w:rPr>
        <w:t>对园区企业（含卓逸窗饰公司）开展安全生产知识宣传：《工贸企业有限空间作业安全规定》（中华人民共和国应急管理部令第13号）《企业安全生产费用提取和使用管理办法》《致全县工贸企业关于节后复工复产的一封信》《华安县应急管理局关于组织开展电气焊作业除患攻坚大排查大整治通知》《华安县电动自行车安全隐患排查整治集中攻坚方案》《重点行业领域重大事故隐患判定标准汇编》《华安县工贸行业安全生产治本攻坚三年行动方案（2024-2026年）》《华安县应急管理局关于开展打通消防生命通道专项行动的通知》等文件，以及“安全生产月”安全生产知识宣传，并要求企业对这些文件进行学习贯彻落实。</w:t>
      </w:r>
    </w:p>
    <w:p w14:paraId="6F28DB22">
      <w:pPr>
        <w:spacing w:line="560" w:lineRule="exact"/>
        <w:ind w:firstLine="640" w:firstLineChars="200"/>
        <w:outlineLvl w:val="0"/>
        <w:rPr>
          <w:rFonts w:ascii="黑体" w:hAnsi="黑体" w:eastAsia="黑体"/>
          <w:sz w:val="32"/>
        </w:rPr>
      </w:pPr>
      <w:bookmarkStart w:id="18" w:name="_Toc173918704"/>
      <w:r>
        <w:rPr>
          <w:rFonts w:hint="eastAsia" w:ascii="黑体" w:hAnsi="黑体" w:eastAsia="黑体"/>
          <w:sz w:val="32"/>
        </w:rPr>
        <w:t>五、对有关责任人员和责任单位的处理建议</w:t>
      </w:r>
      <w:bookmarkEnd w:id="18"/>
    </w:p>
    <w:p w14:paraId="0179378D">
      <w:pPr>
        <w:spacing w:line="560" w:lineRule="exact"/>
        <w:ind w:firstLine="643" w:firstLineChars="200"/>
        <w:outlineLvl w:val="1"/>
        <w:rPr>
          <w:rFonts w:ascii="楷体_GB2312" w:eastAsia="楷体_GB2312"/>
          <w:b/>
          <w:sz w:val="32"/>
        </w:rPr>
      </w:pPr>
      <w:bookmarkStart w:id="19" w:name="_Toc173918705"/>
      <w:r>
        <w:rPr>
          <w:rFonts w:hint="eastAsia" w:ascii="楷体_GB2312" w:eastAsia="楷体_GB2312"/>
          <w:b/>
          <w:sz w:val="32"/>
        </w:rPr>
        <w:t>（一）因在事故中死亡免予追究责任人员</w:t>
      </w:r>
      <w:bookmarkEnd w:id="19"/>
    </w:p>
    <w:p w14:paraId="066E4E79">
      <w:pPr>
        <w:spacing w:line="560" w:lineRule="exact"/>
        <w:ind w:firstLine="640" w:firstLineChars="200"/>
        <w:rPr>
          <w:rFonts w:ascii="仿宋_GB2312" w:eastAsia="仿宋_GB2312"/>
          <w:sz w:val="32"/>
        </w:rPr>
      </w:pPr>
      <w:r>
        <w:rPr>
          <w:rFonts w:hint="eastAsia" w:ascii="仿宋_GB2312" w:eastAsia="仿宋_GB2312"/>
          <w:sz w:val="32"/>
        </w:rPr>
        <w:t>李建文，卓逸窗饰公司喷漆工，安全意识淡薄，在未佩戴和使用安全带的情况下，无证上岗作业违反《中华人民共和国安全生产法》第五十七条</w:t>
      </w:r>
      <w:r>
        <w:rPr>
          <w:rStyle w:val="14"/>
          <w:rFonts w:ascii="仿宋_GB2312" w:eastAsia="仿宋_GB2312"/>
          <w:sz w:val="32"/>
        </w:rPr>
        <w:footnoteReference w:id="11" w:customMarkFollows="1"/>
        <w:t>[</w:t>
      </w:r>
      <w:r>
        <w:rPr>
          <w:rStyle w:val="14"/>
          <w:rFonts w:hint="eastAsia" w:ascii="仿宋_GB2312" w:eastAsia="仿宋_GB2312"/>
          <w:sz w:val="32"/>
        </w:rPr>
        <w:t>12</w:t>
      </w:r>
      <w:r>
        <w:rPr>
          <w:rStyle w:val="14"/>
          <w:rFonts w:ascii="仿宋_GB2312" w:eastAsia="仿宋_GB2312"/>
          <w:sz w:val="32"/>
        </w:rPr>
        <w:t>]</w:t>
      </w:r>
      <w:r>
        <w:rPr>
          <w:rFonts w:hint="eastAsia" w:ascii="仿宋_GB2312" w:eastAsia="仿宋_GB2312"/>
          <w:sz w:val="32"/>
        </w:rPr>
        <w:t>、第三十条第一款</w:t>
      </w:r>
      <w:r>
        <w:rPr>
          <w:rStyle w:val="14"/>
          <w:rFonts w:ascii="仿宋_GB2312" w:eastAsia="仿宋_GB2312"/>
          <w:sz w:val="32"/>
        </w:rPr>
        <w:footnoteReference w:id="12" w:customMarkFollows="1"/>
        <w:t>[</w:t>
      </w:r>
      <w:r>
        <w:rPr>
          <w:rStyle w:val="14"/>
          <w:rFonts w:hint="eastAsia" w:ascii="仿宋_GB2312" w:eastAsia="仿宋_GB2312"/>
          <w:sz w:val="32"/>
        </w:rPr>
        <w:t>13</w:t>
      </w:r>
      <w:r>
        <w:rPr>
          <w:rStyle w:val="14"/>
          <w:rFonts w:ascii="仿宋_GB2312" w:eastAsia="仿宋_GB2312"/>
          <w:sz w:val="32"/>
        </w:rPr>
        <w:t>]</w:t>
      </w:r>
      <w:r>
        <w:rPr>
          <w:rFonts w:hint="eastAsia" w:ascii="仿宋_GB2312" w:eastAsia="仿宋_GB2312"/>
          <w:sz w:val="32"/>
        </w:rPr>
        <w:t>规定，对事故发生负有直接责任。鉴于李建文在事故中死亡，建议免于追究其责任。</w:t>
      </w:r>
    </w:p>
    <w:p w14:paraId="24D48D26">
      <w:pPr>
        <w:spacing w:line="560" w:lineRule="exact"/>
        <w:ind w:firstLine="643" w:firstLineChars="200"/>
        <w:outlineLvl w:val="1"/>
        <w:rPr>
          <w:rFonts w:ascii="楷体_GB2312" w:eastAsia="楷体_GB2312"/>
          <w:b/>
          <w:sz w:val="32"/>
        </w:rPr>
      </w:pPr>
      <w:bookmarkStart w:id="20" w:name="_Toc173918706"/>
      <w:r>
        <w:rPr>
          <w:rFonts w:hint="eastAsia" w:ascii="楷体_GB2312" w:eastAsia="楷体_GB2312"/>
          <w:b/>
          <w:sz w:val="32"/>
        </w:rPr>
        <w:t>（二）对事故有关责任人员和责任单位的行政处罚建议</w:t>
      </w:r>
      <w:bookmarkEnd w:id="20"/>
    </w:p>
    <w:p w14:paraId="50D1C49E">
      <w:pPr>
        <w:spacing w:line="560" w:lineRule="exact"/>
        <w:ind w:firstLine="640" w:firstLineChars="200"/>
        <w:rPr>
          <w:rFonts w:ascii="仿宋_GB2312" w:eastAsia="仿宋_GB2312"/>
          <w:sz w:val="32"/>
        </w:rPr>
      </w:pPr>
      <w:r>
        <w:rPr>
          <w:rFonts w:hint="eastAsia" w:ascii="仿宋_GB2312" w:eastAsia="仿宋_GB2312"/>
          <w:sz w:val="32"/>
        </w:rPr>
        <w:t>1.黄本梁，作为卓逸窗饰公司法定代表人，组织实施本单位安全生产教育和培训计划不到位，落实安全风险分级管控和隐患排查治理双重预防工作机制不到位，督促、检查本单位的安全生产工作不到位，违反《中华人民共和国安全生产法》第二十一条第三项、第五项</w:t>
      </w:r>
      <w:r>
        <w:rPr>
          <w:rStyle w:val="14"/>
          <w:rFonts w:ascii="仿宋_GB2312" w:eastAsia="仿宋_GB2312"/>
          <w:sz w:val="32"/>
        </w:rPr>
        <w:footnoteReference w:id="13" w:customMarkFollows="1"/>
        <w:t>[</w:t>
      </w:r>
      <w:r>
        <w:rPr>
          <w:rStyle w:val="14"/>
          <w:rFonts w:hint="eastAsia" w:ascii="仿宋_GB2312" w:eastAsia="仿宋_GB2312"/>
          <w:sz w:val="32"/>
        </w:rPr>
        <w:t>14</w:t>
      </w:r>
      <w:r>
        <w:rPr>
          <w:rStyle w:val="14"/>
          <w:rFonts w:ascii="仿宋_GB2312" w:eastAsia="仿宋_GB2312"/>
          <w:sz w:val="32"/>
        </w:rPr>
        <w:t>]</w:t>
      </w:r>
      <w:r>
        <w:rPr>
          <w:rFonts w:hint="eastAsia" w:ascii="仿宋_GB2312" w:eastAsia="仿宋_GB2312"/>
          <w:sz w:val="32"/>
        </w:rPr>
        <w:t>规定，对事故发生负有责任，建议由华安县应急管理局依照《中华人民共和国安全生产法》第九十五条第一项</w:t>
      </w:r>
      <w:r>
        <w:rPr>
          <w:rStyle w:val="14"/>
          <w:rFonts w:ascii="仿宋_GB2312" w:eastAsia="仿宋_GB2312"/>
          <w:sz w:val="32"/>
        </w:rPr>
        <w:footnoteReference w:id="14" w:customMarkFollows="1"/>
        <w:t>[1</w:t>
      </w:r>
      <w:r>
        <w:rPr>
          <w:rStyle w:val="14"/>
          <w:rFonts w:hint="eastAsia" w:ascii="仿宋_GB2312" w:eastAsia="仿宋_GB2312"/>
          <w:sz w:val="32"/>
        </w:rPr>
        <w:t>5</w:t>
      </w:r>
      <w:r>
        <w:rPr>
          <w:rStyle w:val="14"/>
          <w:rFonts w:ascii="仿宋_GB2312" w:eastAsia="仿宋_GB2312"/>
          <w:sz w:val="32"/>
        </w:rPr>
        <w:t>]</w:t>
      </w:r>
      <w:r>
        <w:rPr>
          <w:rFonts w:hint="eastAsia" w:ascii="仿宋_GB2312" w:eastAsia="仿宋_GB2312"/>
          <w:sz w:val="32"/>
        </w:rPr>
        <w:t>规定对其进行行政处罚。</w:t>
      </w:r>
    </w:p>
    <w:p w14:paraId="71F1249E">
      <w:pPr>
        <w:spacing w:line="560" w:lineRule="exact"/>
        <w:ind w:firstLine="640" w:firstLineChars="200"/>
        <w:rPr>
          <w:rFonts w:ascii="仿宋_GB2312" w:eastAsia="仿宋_GB2312"/>
          <w:sz w:val="32"/>
        </w:rPr>
      </w:pPr>
      <w:r>
        <w:rPr>
          <w:rFonts w:hint="eastAsia" w:ascii="仿宋_GB2312" w:eastAsia="仿宋_GB2312"/>
          <w:sz w:val="32"/>
        </w:rPr>
        <w:t>2.卓逸窗饰公司，对从业人员安全生产教育和培训不到位；安全风险分级管控和生产安全事故隐患排查治理制度落实不到位；未能确保劳动防护用品的正常使用。违反《中华人民共和国安全生产法》第二十八条第一款</w:t>
      </w:r>
      <w:r>
        <w:rPr>
          <w:rStyle w:val="14"/>
          <w:rFonts w:ascii="仿宋_GB2312" w:eastAsia="仿宋_GB2312"/>
          <w:sz w:val="32"/>
        </w:rPr>
        <w:footnoteReference w:id="15" w:customMarkFollows="1"/>
        <w:t>[1</w:t>
      </w:r>
      <w:r>
        <w:rPr>
          <w:rStyle w:val="14"/>
          <w:rFonts w:hint="eastAsia" w:ascii="仿宋_GB2312" w:eastAsia="仿宋_GB2312"/>
          <w:sz w:val="32"/>
        </w:rPr>
        <w:t>6</w:t>
      </w:r>
      <w:r>
        <w:rPr>
          <w:rStyle w:val="14"/>
          <w:rFonts w:ascii="仿宋_GB2312" w:eastAsia="仿宋_GB2312"/>
          <w:sz w:val="32"/>
        </w:rPr>
        <w:t>]</w:t>
      </w:r>
      <w:r>
        <w:rPr>
          <w:rFonts w:hint="eastAsia" w:ascii="仿宋_GB2312" w:eastAsia="仿宋_GB2312"/>
          <w:sz w:val="32"/>
        </w:rPr>
        <w:t>、第四十一条第一款、第二款</w:t>
      </w:r>
      <w:r>
        <w:rPr>
          <w:rStyle w:val="14"/>
          <w:rFonts w:ascii="仿宋_GB2312" w:eastAsia="仿宋_GB2312"/>
          <w:sz w:val="32"/>
        </w:rPr>
        <w:footnoteReference w:id="16" w:customMarkFollows="1"/>
        <w:t>[</w:t>
      </w:r>
      <w:r>
        <w:rPr>
          <w:rStyle w:val="14"/>
          <w:rFonts w:hint="eastAsia" w:ascii="仿宋_GB2312" w:eastAsia="仿宋_GB2312"/>
          <w:sz w:val="32"/>
        </w:rPr>
        <w:t>17</w:t>
      </w:r>
      <w:r>
        <w:rPr>
          <w:rStyle w:val="14"/>
          <w:rFonts w:ascii="仿宋_GB2312" w:eastAsia="仿宋_GB2312"/>
          <w:sz w:val="32"/>
        </w:rPr>
        <w:t>]</w:t>
      </w:r>
      <w:r>
        <w:rPr>
          <w:rFonts w:hint="eastAsia" w:ascii="仿宋_GB2312" w:eastAsia="仿宋_GB2312"/>
          <w:sz w:val="32"/>
        </w:rPr>
        <w:t>、第四十五条</w:t>
      </w:r>
      <w:r>
        <w:rPr>
          <w:rStyle w:val="14"/>
          <w:rFonts w:ascii="仿宋_GB2312" w:eastAsia="仿宋_GB2312"/>
          <w:sz w:val="32"/>
        </w:rPr>
        <w:footnoteReference w:id="17" w:customMarkFollows="1"/>
        <w:t>[</w:t>
      </w:r>
      <w:r>
        <w:rPr>
          <w:rStyle w:val="14"/>
          <w:rFonts w:hint="eastAsia" w:ascii="仿宋_GB2312" w:eastAsia="仿宋_GB2312"/>
          <w:sz w:val="32"/>
        </w:rPr>
        <w:t>18</w:t>
      </w:r>
      <w:r>
        <w:rPr>
          <w:rStyle w:val="14"/>
          <w:rFonts w:ascii="仿宋_GB2312" w:eastAsia="仿宋_GB2312"/>
          <w:sz w:val="32"/>
        </w:rPr>
        <w:t>]</w:t>
      </w:r>
      <w:r>
        <w:rPr>
          <w:rFonts w:hint="eastAsia" w:ascii="仿宋_GB2312" w:eastAsia="仿宋_GB2312"/>
          <w:sz w:val="32"/>
        </w:rPr>
        <w:t>规定，对事故发生负有责任，建议由华安县应急管理局依照《中华人民共和国安全生产法》第一百一十四条第一款第一项</w:t>
      </w:r>
      <w:r>
        <w:rPr>
          <w:rStyle w:val="14"/>
          <w:rFonts w:ascii="仿宋_GB2312" w:eastAsia="仿宋_GB2312"/>
          <w:sz w:val="32"/>
        </w:rPr>
        <w:footnoteReference w:id="18" w:customMarkFollows="1"/>
        <w:t>[</w:t>
      </w:r>
      <w:r>
        <w:rPr>
          <w:rStyle w:val="14"/>
          <w:rFonts w:hint="eastAsia" w:ascii="仿宋_GB2312" w:eastAsia="仿宋_GB2312"/>
          <w:sz w:val="32"/>
        </w:rPr>
        <w:t>19</w:t>
      </w:r>
      <w:r>
        <w:rPr>
          <w:rStyle w:val="14"/>
          <w:rFonts w:ascii="仿宋_GB2312" w:eastAsia="仿宋_GB2312"/>
          <w:sz w:val="32"/>
        </w:rPr>
        <w:t>]</w:t>
      </w:r>
      <w:r>
        <w:rPr>
          <w:rFonts w:hint="eastAsia" w:ascii="仿宋_GB2312" w:eastAsia="仿宋_GB2312"/>
          <w:sz w:val="32"/>
        </w:rPr>
        <w:t>规定对其进行行政处罚。</w:t>
      </w:r>
    </w:p>
    <w:p w14:paraId="64D682B0">
      <w:pPr>
        <w:spacing w:line="560" w:lineRule="exact"/>
        <w:ind w:firstLine="643" w:firstLineChars="200"/>
        <w:outlineLvl w:val="1"/>
        <w:rPr>
          <w:rFonts w:ascii="楷体_GB2312" w:eastAsia="楷体_GB2312"/>
          <w:b/>
          <w:sz w:val="32"/>
        </w:rPr>
      </w:pPr>
      <w:bookmarkStart w:id="21" w:name="_Toc173918707"/>
      <w:r>
        <w:rPr>
          <w:rFonts w:hint="eastAsia" w:ascii="楷体_GB2312" w:eastAsia="楷体_GB2312"/>
          <w:b/>
          <w:sz w:val="32"/>
        </w:rPr>
        <w:t>（三）其他处理建议</w:t>
      </w:r>
      <w:bookmarkEnd w:id="21"/>
    </w:p>
    <w:p w14:paraId="17A3D8B0">
      <w:pPr>
        <w:spacing w:line="560" w:lineRule="exact"/>
        <w:ind w:firstLine="640" w:firstLineChars="200"/>
        <w:rPr>
          <w:rFonts w:ascii="仿宋_GB2312" w:eastAsia="仿宋_GB2312"/>
          <w:sz w:val="32"/>
        </w:rPr>
      </w:pPr>
      <w:r>
        <w:rPr>
          <w:rFonts w:hint="eastAsia" w:ascii="仿宋_GB2312" w:eastAsia="仿宋_GB2312"/>
          <w:sz w:val="32"/>
        </w:rPr>
        <w:t>1.施雪焰，卓逸窗饰公司生产经理，安全生产管理人员，组织本单位安全生产教育和培训不到位，检查本单位的安全生产状况不到位，未及时排查生产安全事故隐患，对事故发生负有责任，建议由卓逸窗饰公司按照公司规章制度进行处理，并将处理结果书面报告华安县应急管理局。</w:t>
      </w:r>
    </w:p>
    <w:p w14:paraId="76849F67">
      <w:pPr>
        <w:spacing w:line="560" w:lineRule="exact"/>
        <w:ind w:firstLine="640" w:firstLineChars="200"/>
        <w:rPr>
          <w:rFonts w:ascii="仿宋_GB2312" w:eastAsia="仿宋_GB2312"/>
          <w:sz w:val="32"/>
        </w:rPr>
      </w:pPr>
      <w:r>
        <w:rPr>
          <w:rFonts w:hint="eastAsia" w:ascii="仿宋_GB2312" w:eastAsia="仿宋_GB2312"/>
          <w:sz w:val="32"/>
        </w:rPr>
        <w:t>2.张省伟，卓逸窗饰公司喷漆班组班组长，未严格落实岗位安全责任，高处作业安全措施落实不到位，作业现场安全监护不到位，对事故发生负有责任，建议由卓逸窗饰公司按照公司规章制度进行处理，并将处理结果书面报告华安县应急管理局。</w:t>
      </w:r>
    </w:p>
    <w:p w14:paraId="13009858">
      <w:pPr>
        <w:spacing w:line="560" w:lineRule="exact"/>
        <w:ind w:firstLine="640" w:firstLineChars="200"/>
        <w:outlineLvl w:val="0"/>
        <w:rPr>
          <w:rFonts w:ascii="黑体" w:hAnsi="黑体" w:eastAsia="黑体"/>
          <w:sz w:val="32"/>
        </w:rPr>
      </w:pPr>
      <w:bookmarkStart w:id="22" w:name="_Toc173918708"/>
      <w:r>
        <w:rPr>
          <w:rFonts w:hint="eastAsia" w:ascii="黑体" w:hAnsi="黑体" w:eastAsia="黑体"/>
          <w:sz w:val="32"/>
        </w:rPr>
        <w:t>六、事故主要教训</w:t>
      </w:r>
      <w:bookmarkEnd w:id="22"/>
    </w:p>
    <w:p w14:paraId="4FF1EF99">
      <w:pPr>
        <w:spacing w:line="560" w:lineRule="exact"/>
        <w:ind w:firstLine="643" w:firstLineChars="200"/>
        <w:outlineLvl w:val="1"/>
        <w:rPr>
          <w:rFonts w:ascii="楷体_GB2312" w:eastAsia="楷体_GB2312"/>
          <w:b/>
          <w:sz w:val="32"/>
        </w:rPr>
      </w:pPr>
      <w:bookmarkStart w:id="23" w:name="_Toc173918709"/>
      <w:r>
        <w:rPr>
          <w:rFonts w:hint="eastAsia" w:ascii="楷体_GB2312" w:eastAsia="楷体_GB2312"/>
          <w:b/>
          <w:sz w:val="32"/>
        </w:rPr>
        <w:t>（一）作业人员安全意识淡薄</w:t>
      </w:r>
      <w:bookmarkEnd w:id="23"/>
    </w:p>
    <w:p w14:paraId="40D35413">
      <w:pPr>
        <w:spacing w:line="560" w:lineRule="exact"/>
        <w:ind w:firstLine="640" w:firstLineChars="200"/>
        <w:rPr>
          <w:rFonts w:ascii="仿宋_GB2312" w:eastAsia="仿宋_GB2312"/>
          <w:sz w:val="32"/>
        </w:rPr>
      </w:pPr>
      <w:r>
        <w:rPr>
          <w:rFonts w:hint="eastAsia" w:ascii="仿宋_GB2312" w:eastAsia="仿宋_GB2312"/>
          <w:sz w:val="32"/>
        </w:rPr>
        <w:t>作业人员安全意识淡薄，事故预防能力不足，作业时，未佩戴和使用安全带，且无证上岗作业。</w:t>
      </w:r>
    </w:p>
    <w:p w14:paraId="77494901">
      <w:pPr>
        <w:spacing w:line="560" w:lineRule="exact"/>
        <w:ind w:firstLine="643" w:firstLineChars="200"/>
        <w:outlineLvl w:val="1"/>
        <w:rPr>
          <w:rFonts w:ascii="楷体_GB2312" w:eastAsia="楷体_GB2312"/>
          <w:b/>
          <w:sz w:val="32"/>
        </w:rPr>
      </w:pPr>
      <w:bookmarkStart w:id="24" w:name="_Toc173918710"/>
      <w:r>
        <w:rPr>
          <w:rFonts w:hint="eastAsia" w:ascii="楷体_GB2312" w:eastAsia="楷体_GB2312"/>
          <w:b/>
          <w:sz w:val="32"/>
        </w:rPr>
        <w:t>（二）企业安全生产管理不到位</w:t>
      </w:r>
      <w:bookmarkEnd w:id="24"/>
    </w:p>
    <w:p w14:paraId="30D277E6">
      <w:pPr>
        <w:spacing w:line="560" w:lineRule="exact"/>
        <w:ind w:firstLine="640" w:firstLineChars="200"/>
        <w:rPr>
          <w:rFonts w:ascii="仿宋_GB2312" w:eastAsia="仿宋_GB2312"/>
          <w:sz w:val="32"/>
        </w:rPr>
      </w:pPr>
      <w:r>
        <w:rPr>
          <w:rFonts w:hint="eastAsia" w:ascii="仿宋_GB2312" w:eastAsia="仿宋_GB2312"/>
          <w:sz w:val="32"/>
        </w:rPr>
        <w:t>企业未严格履行安全生产主体责任，未根据作业内容，开展针对性安全生产教育和培训，安全管理人员、班组长岗位安全责任不落实，对作业现场安全漏管、失管。</w:t>
      </w:r>
    </w:p>
    <w:p w14:paraId="332ABA2C">
      <w:pPr>
        <w:spacing w:line="560" w:lineRule="exact"/>
        <w:ind w:firstLine="640" w:firstLineChars="200"/>
        <w:outlineLvl w:val="0"/>
        <w:rPr>
          <w:rFonts w:ascii="黑体" w:hAnsi="黑体" w:eastAsia="黑体"/>
          <w:sz w:val="32"/>
        </w:rPr>
      </w:pPr>
      <w:bookmarkStart w:id="25" w:name="_Toc173918711"/>
      <w:r>
        <w:rPr>
          <w:rFonts w:hint="eastAsia" w:ascii="黑体" w:hAnsi="黑体" w:eastAsia="黑体"/>
          <w:sz w:val="32"/>
        </w:rPr>
        <w:t>七、事故整改和防范措施</w:t>
      </w:r>
      <w:bookmarkEnd w:id="25"/>
    </w:p>
    <w:p w14:paraId="153B7033">
      <w:pPr>
        <w:spacing w:line="560" w:lineRule="exact"/>
        <w:ind w:firstLine="643" w:firstLineChars="200"/>
        <w:outlineLvl w:val="1"/>
        <w:rPr>
          <w:rFonts w:ascii="楷体_GB2312" w:eastAsia="楷体_GB2312"/>
          <w:b/>
          <w:sz w:val="32"/>
        </w:rPr>
      </w:pPr>
      <w:bookmarkStart w:id="26" w:name="_Toc173918712"/>
      <w:r>
        <w:rPr>
          <w:rFonts w:hint="eastAsia" w:ascii="楷体_GB2312" w:eastAsia="楷体_GB2312"/>
          <w:b/>
          <w:sz w:val="32"/>
        </w:rPr>
        <w:t>（一）深刻吸取事故教训</w:t>
      </w:r>
      <w:bookmarkEnd w:id="26"/>
    </w:p>
    <w:p w14:paraId="08EC5285">
      <w:pPr>
        <w:spacing w:line="560" w:lineRule="exact"/>
        <w:ind w:firstLine="640" w:firstLineChars="200"/>
        <w:rPr>
          <w:rFonts w:ascii="仿宋_GB2312" w:eastAsia="仿宋_GB2312"/>
          <w:sz w:val="32"/>
        </w:rPr>
      </w:pPr>
      <w:r>
        <w:rPr>
          <w:rFonts w:hint="eastAsia" w:ascii="仿宋_GB2312" w:eastAsia="仿宋_GB2312"/>
          <w:sz w:val="32"/>
        </w:rPr>
        <w:t>卓逸窗饰公司要深刻吸取此次事故教训，针对事故暴露出的问题隐患，举一反三，从安全生产规章制度、全员安全生产能力、作业现场安全管理等方面，提升安全生产水平，坚决防范类似事故发生。</w:t>
      </w:r>
    </w:p>
    <w:p w14:paraId="1B20ADB5">
      <w:pPr>
        <w:spacing w:line="560" w:lineRule="exact"/>
        <w:ind w:firstLine="643" w:firstLineChars="200"/>
        <w:outlineLvl w:val="1"/>
        <w:rPr>
          <w:rFonts w:ascii="楷体_GB2312" w:eastAsia="楷体_GB2312"/>
          <w:b/>
          <w:sz w:val="32"/>
        </w:rPr>
      </w:pPr>
      <w:bookmarkStart w:id="27" w:name="_Toc173918713"/>
      <w:r>
        <w:rPr>
          <w:rFonts w:hint="eastAsia" w:ascii="楷体_GB2312" w:eastAsia="楷体_GB2312"/>
          <w:b/>
          <w:sz w:val="32"/>
        </w:rPr>
        <w:t>（二）严格落实企业主体责任</w:t>
      </w:r>
      <w:bookmarkEnd w:id="27"/>
    </w:p>
    <w:p w14:paraId="42C58A60">
      <w:pPr>
        <w:spacing w:line="560" w:lineRule="exact"/>
        <w:ind w:firstLine="640" w:firstLineChars="200"/>
        <w:rPr>
          <w:rFonts w:ascii="仿宋_GB2312" w:eastAsia="仿宋_GB2312"/>
          <w:sz w:val="32"/>
        </w:rPr>
      </w:pPr>
      <w:r>
        <w:rPr>
          <w:rFonts w:hint="eastAsia" w:ascii="仿宋_GB2312" w:eastAsia="仿宋_GB2312"/>
          <w:sz w:val="32"/>
        </w:rPr>
        <w:t>卓逸窗饰公司要严格履行《中华人民共和国安全生产法》规定的安全生产职责，严格落实安全生产主体责任，根据作业内容开展针对性、差异化安全生产教育培训，确保员工具备必要的安全生产知识，熟悉有关的安全生产规章制度和安全操作规程，掌握本岗位的安全操作技能，了解事故应急处理措施，知悉自身在安全生产方面的权利和义务；要严格落实安全风险分级管控和隐患排查治理双重预防机制，加强危险源辨识和评估，针对作业场所存在的危险因素，采取有效的防范措施，加强作业现场隐患排查，及时消除生产安全事故隐患。</w:t>
      </w:r>
    </w:p>
    <w:p w14:paraId="7CD9F207">
      <w:pPr>
        <w:spacing w:line="560" w:lineRule="exact"/>
        <w:ind w:firstLine="643" w:firstLineChars="200"/>
        <w:outlineLvl w:val="1"/>
        <w:rPr>
          <w:rFonts w:ascii="楷体_GB2312" w:eastAsia="楷体_GB2312"/>
          <w:b/>
          <w:sz w:val="32"/>
        </w:rPr>
      </w:pPr>
      <w:bookmarkStart w:id="28" w:name="_Toc173918714"/>
      <w:r>
        <w:rPr>
          <w:rFonts w:hint="eastAsia" w:ascii="楷体_GB2312" w:eastAsia="楷体_GB2312"/>
          <w:b/>
          <w:sz w:val="32"/>
        </w:rPr>
        <w:t>（三）加强安全监管</w:t>
      </w:r>
      <w:bookmarkEnd w:id="28"/>
    </w:p>
    <w:p w14:paraId="5688EB3E">
      <w:pPr>
        <w:spacing w:line="560" w:lineRule="exact"/>
        <w:ind w:firstLine="640" w:firstLineChars="200"/>
        <w:rPr>
          <w:rFonts w:ascii="仿宋_GB2312" w:eastAsia="仿宋_GB2312"/>
          <w:sz w:val="32"/>
        </w:rPr>
      </w:pPr>
      <w:r>
        <w:rPr>
          <w:rFonts w:hint="eastAsia" w:ascii="仿宋_GB2312" w:eastAsia="仿宋_GB2312"/>
          <w:sz w:val="32"/>
        </w:rPr>
        <w:t>华安县应急管理局、华安经济开发区管委会要严格落实行业主管部门和属地政府安全监管责任，持续深入开展安全生产治本攻坚三年行动，将卓逸窗饰公司纳入重点监管对象，加强监管执法和指导帮扶，针对事故暴露出的典型问题，举一反三，开展重点整治，切实提升工贸行业安全生产水平。</w:t>
      </w:r>
    </w:p>
    <w:sectPr>
      <w:footerReference r:id="rId9" w:type="first"/>
      <w:footerReference r:id="rId8" w:type="default"/>
      <w:pgSz w:w="11906" w:h="16838"/>
      <w:pgMar w:top="1928" w:right="1474" w:bottom="1701" w:left="1588" w:header="1418" w:footer="1418"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方正小标宋简体"/>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6ADE1">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722C6">
    <w:pPr>
      <w:pStyle w:val="4"/>
      <w:framePr w:wrap="around" w:vAnchor="text" w:hAnchor="margin" w:xAlign="outside" w:y="1"/>
      <w:rPr>
        <w:rStyle w:val="12"/>
      </w:rPr>
    </w:pPr>
    <w:r>
      <w:fldChar w:fldCharType="begin"/>
    </w:r>
    <w:r>
      <w:rPr>
        <w:rStyle w:val="12"/>
      </w:rPr>
      <w:instrText xml:space="preserve">PAGE  </w:instrText>
    </w:r>
    <w:r>
      <w:fldChar w:fldCharType="end"/>
    </w:r>
  </w:p>
  <w:p w14:paraId="39DA316F">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823977"/>
      <w:docPartObj>
        <w:docPartGallery w:val="AutoText"/>
      </w:docPartObj>
    </w:sdtPr>
    <w:sdtEndPr>
      <w:rPr>
        <w:sz w:val="24"/>
        <w:szCs w:val="24"/>
      </w:rPr>
    </w:sdtEndPr>
    <w:sdtContent>
      <w:p w14:paraId="6A999ADD">
        <w:pPr>
          <w:pStyle w:val="4"/>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16</w:t>
        </w:r>
        <w:r>
          <w:rPr>
            <w:sz w:val="24"/>
            <w:szCs w:val="24"/>
          </w:rPr>
          <w:fldChar w:fldCharType="end"/>
        </w:r>
      </w:p>
    </w:sdtContent>
  </w:sdt>
  <w:p w14:paraId="1ADA64F0">
    <w:pPr>
      <w:pStyle w:val="4"/>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823967"/>
      <w:docPartObj>
        <w:docPartGallery w:val="AutoText"/>
      </w:docPartObj>
    </w:sdtPr>
    <w:sdtEndPr>
      <w:rPr>
        <w:sz w:val="24"/>
        <w:szCs w:val="24"/>
      </w:rPr>
    </w:sdtEndPr>
    <w:sdtContent>
      <w:p w14:paraId="6D07D7B8">
        <w:pPr>
          <w:pStyle w:val="4"/>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w:t>
        </w:r>
        <w:r>
          <w:rPr>
            <w:sz w:val="24"/>
            <w:szCs w:val="24"/>
          </w:rPr>
          <w:fldChar w:fldCharType="end"/>
        </w:r>
      </w:p>
    </w:sdtContent>
  </w:sdt>
  <w:p w14:paraId="0CA4CC2E">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r>
        <w:separator/>
      </w:r>
    </w:p>
  </w:footnote>
  <w:footnote w:type="continuationSeparator" w:id="39">
    <w:p>
      <w:r>
        <w:continuationSeparator/>
      </w:r>
    </w:p>
  </w:footnote>
  <w:footnote w:id="0">
    <w:p w14:paraId="150A7062">
      <w:pPr>
        <w:pStyle w:val="7"/>
      </w:pPr>
      <w:r>
        <w:rPr>
          <w:rStyle w:val="14"/>
        </w:rPr>
        <w:t>[1]</w:t>
      </w:r>
      <w:r>
        <w:rPr>
          <w:rFonts w:hint="eastAsia"/>
        </w:rPr>
        <w:t>根据卓逸窗饰公司提交的《涂装净化车间建造销售合同》，酚醛板规格为：5cm376#。</w:t>
      </w:r>
    </w:p>
  </w:footnote>
  <w:footnote w:id="1">
    <w:p w14:paraId="1CDF57DC">
      <w:pPr>
        <w:pStyle w:val="7"/>
      </w:pPr>
      <w:r>
        <w:rPr>
          <w:rStyle w:val="14"/>
        </w:rPr>
        <w:t>[</w:t>
      </w:r>
      <w:r>
        <w:rPr>
          <w:rStyle w:val="14"/>
          <w:rFonts w:hint="eastAsia"/>
        </w:rPr>
        <w:t>2</w:t>
      </w:r>
      <w:r>
        <w:rPr>
          <w:rStyle w:val="14"/>
        </w:rPr>
        <w:t>]</w:t>
      </w:r>
      <w:r>
        <w:rPr>
          <w:rFonts w:hint="eastAsia"/>
        </w:rPr>
        <w:t>根据卓逸窗饰公司提交的《关于成立安全生产管理机构、配备安全管理人员的通知</w:t>
      </w:r>
      <w:r>
        <w:rPr>
          <w:rFonts w:hint="eastAsia" w:ascii="宋体" w:hAnsi="宋体"/>
        </w:rPr>
        <w:t>》，任命吴建平为安全总监，任命施雪焰、甘中成为安全员。</w:t>
      </w:r>
    </w:p>
  </w:footnote>
  <w:footnote w:id="2">
    <w:p w14:paraId="669985A1">
      <w:pPr>
        <w:pStyle w:val="7"/>
      </w:pPr>
      <w:r>
        <w:rPr>
          <w:rStyle w:val="14"/>
        </w:rPr>
        <w:t>[</w:t>
      </w:r>
      <w:r>
        <w:rPr>
          <w:rStyle w:val="14"/>
          <w:rFonts w:hint="eastAsia"/>
        </w:rPr>
        <w:t>3</w:t>
      </w:r>
      <w:r>
        <w:rPr>
          <w:rStyle w:val="14"/>
        </w:rPr>
        <w:t>]</w:t>
      </w:r>
      <w:r>
        <w:rPr>
          <w:rFonts w:hint="eastAsia"/>
        </w:rPr>
        <w:t>《高处作业分级》（</w:t>
      </w:r>
      <w:r>
        <w:rPr>
          <w:rFonts w:ascii="宋体" w:hAnsi="宋体"/>
        </w:rPr>
        <w:t>GB/T3608-2008</w:t>
      </w:r>
      <w:r>
        <w:rPr>
          <w:rFonts w:hint="eastAsia" w:ascii="宋体" w:hAnsi="宋体"/>
        </w:rPr>
        <w:t>）3.1：高处作业：在距坠落高度基准面2m或2m以上有可能坠落的高处进行的作业。</w:t>
      </w:r>
    </w:p>
  </w:footnote>
  <w:footnote w:id="3">
    <w:p w14:paraId="7E5745EF">
      <w:pPr>
        <w:pStyle w:val="7"/>
      </w:pPr>
      <w:r>
        <w:rPr>
          <w:rStyle w:val="14"/>
        </w:rPr>
        <w:t>[</w:t>
      </w:r>
      <w:r>
        <w:rPr>
          <w:rStyle w:val="14"/>
          <w:rFonts w:hint="eastAsia"/>
        </w:rPr>
        <w:t>4</w:t>
      </w:r>
      <w:r>
        <w:rPr>
          <w:rStyle w:val="14"/>
        </w:rPr>
        <w:t>]</w:t>
      </w:r>
      <w:r>
        <w:rPr>
          <w:rFonts w:hint="eastAsia"/>
        </w:rPr>
        <w:t>《中华人民共和国安全生产法》第三十条第一款：生产经营单位的特种作业人员必须按照国家有关规定经专门的安全作业培训，取得相应资格，方可上岗作业。</w:t>
      </w:r>
    </w:p>
  </w:footnote>
  <w:footnote w:id="4">
    <w:p w14:paraId="158332A2">
      <w:pPr>
        <w:pStyle w:val="7"/>
      </w:pPr>
      <w:r>
        <w:rPr>
          <w:rStyle w:val="14"/>
        </w:rPr>
        <w:t>[</w:t>
      </w:r>
      <w:r>
        <w:rPr>
          <w:rStyle w:val="14"/>
          <w:rFonts w:hint="eastAsia"/>
        </w:rPr>
        <w:t>5</w:t>
      </w:r>
      <w:r>
        <w:rPr>
          <w:rStyle w:val="14"/>
        </w:rPr>
        <w:t>]</w:t>
      </w:r>
      <w:r>
        <w:rPr>
          <w:rFonts w:hint="eastAsia"/>
        </w:rPr>
        <w:t>张省伟持有漳州市市场监督管理局颁发的《中华人民共和国特种设备安全管理和作业人员证》</w:t>
      </w:r>
      <w:r>
        <w:rPr>
          <w:rFonts w:hint="eastAsia" w:ascii="宋体" w:hAnsi="宋体"/>
        </w:rPr>
        <w:t>，项目代号N1,有</w:t>
      </w:r>
      <w:r>
        <w:rPr>
          <w:rFonts w:hint="eastAsia"/>
        </w:rPr>
        <w:t>效期自2022年10月至2026年10月。</w:t>
      </w:r>
    </w:p>
  </w:footnote>
  <w:footnote w:id="5">
    <w:p w14:paraId="3837B20F">
      <w:pPr>
        <w:pStyle w:val="7"/>
      </w:pPr>
      <w:r>
        <w:rPr>
          <w:rStyle w:val="14"/>
        </w:rPr>
        <w:t>[</w:t>
      </w:r>
      <w:r>
        <w:rPr>
          <w:rStyle w:val="14"/>
          <w:rFonts w:hint="eastAsia"/>
        </w:rPr>
        <w:t>6</w:t>
      </w:r>
      <w:r>
        <w:rPr>
          <w:rStyle w:val="14"/>
        </w:rPr>
        <w:t>]</w:t>
      </w:r>
      <w:r>
        <w:rPr>
          <w:rFonts w:hint="eastAsia"/>
        </w:rPr>
        <w:t>根据卓逸窗饰公司提交的《情况说明》，风机重量约101KG。</w:t>
      </w:r>
    </w:p>
  </w:footnote>
  <w:footnote w:id="6">
    <w:p w14:paraId="3B4A21DB">
      <w:pPr>
        <w:pStyle w:val="7"/>
      </w:pPr>
      <w:r>
        <w:rPr>
          <w:rStyle w:val="14"/>
        </w:rPr>
        <w:t>[</w:t>
      </w:r>
      <w:r>
        <w:rPr>
          <w:rStyle w:val="14"/>
          <w:rFonts w:hint="eastAsia"/>
        </w:rPr>
        <w:t>7</w:t>
      </w:r>
      <w:r>
        <w:rPr>
          <w:rStyle w:val="14"/>
        </w:rPr>
        <w:t>]</w:t>
      </w:r>
      <w:r>
        <w:rPr>
          <w:rFonts w:hint="eastAsia"/>
        </w:rPr>
        <w:t>《中华人民共和国安全生产法》第五十七条：从业人员在作业过程中，应当严格落实岗位安全责任，遵守本单位的安全生产规章制度和操作规程，服从管理，正确佩戴和使用劳动防护用品。</w:t>
      </w:r>
    </w:p>
  </w:footnote>
  <w:footnote w:id="7">
    <w:p w14:paraId="1772B31A">
      <w:pPr>
        <w:pStyle w:val="7"/>
      </w:pPr>
      <w:r>
        <w:rPr>
          <w:rStyle w:val="14"/>
        </w:rPr>
        <w:t>[</w:t>
      </w:r>
      <w:r>
        <w:rPr>
          <w:rStyle w:val="14"/>
          <w:rFonts w:hint="eastAsia"/>
        </w:rPr>
        <w:t>8</w:t>
      </w:r>
      <w:r>
        <w:rPr>
          <w:rStyle w:val="14"/>
        </w:rPr>
        <w:t>]</w:t>
      </w:r>
      <w:r>
        <w:rPr>
          <w:rFonts w:hint="eastAsia"/>
        </w:rPr>
        <w:t>《中华人民共和国安全生产法》第三十条第一款：生产经营单位的特种作业人员必须按照国家有关规定经专门的安全作业培训，取得相应资格，方可上岗作业。</w:t>
      </w:r>
    </w:p>
  </w:footnote>
  <w:footnote w:id="8">
    <w:p w14:paraId="2379626E">
      <w:pPr>
        <w:pStyle w:val="7"/>
      </w:pPr>
      <w:r>
        <w:rPr>
          <w:rStyle w:val="14"/>
        </w:rPr>
        <w:t>[</w:t>
      </w:r>
      <w:r>
        <w:rPr>
          <w:rStyle w:val="14"/>
          <w:rFonts w:hint="eastAsia"/>
        </w:rPr>
        <w:t>9</w:t>
      </w:r>
      <w:r>
        <w:rPr>
          <w:rStyle w:val="14"/>
        </w:rPr>
        <w:t>]</w:t>
      </w:r>
      <w:r>
        <w:rPr>
          <w:rFonts w:hint="eastAsia"/>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9">
    <w:p w14:paraId="3A49BC52">
      <w:pPr>
        <w:pStyle w:val="7"/>
      </w:pPr>
      <w:r>
        <w:rPr>
          <w:rStyle w:val="14"/>
        </w:rPr>
        <w:t>[</w:t>
      </w:r>
      <w:r>
        <w:rPr>
          <w:rStyle w:val="14"/>
          <w:rFonts w:hint="eastAsia"/>
        </w:rPr>
        <w:t>10</w:t>
      </w:r>
      <w:r>
        <w:rPr>
          <w:rStyle w:val="14"/>
        </w:rPr>
        <w:t>]</w:t>
      </w:r>
      <w:r>
        <w:rPr>
          <w:rFonts w:hint="eastAsia"/>
        </w:rPr>
        <w:t>《中华人民共和国安全生产法》第四十一条第一款、第二款：生产经营单位应当建立安全风险分级管控制度，按照安全风险分级采取相应的管控措施。</w:t>
      </w:r>
    </w:p>
    <w:p w14:paraId="44DB115F">
      <w:pPr>
        <w:pStyle w:val="7"/>
      </w:pPr>
      <w:r>
        <w:rPr>
          <w:rFonts w:hint="eastAsia"/>
        </w:rPr>
        <w:t>生产经营单位应当建立健全并落实生产安全事故隐患排查治理制度，采取技术、管理措施，及时发现并消除事故隐患。</w:t>
      </w:r>
      <w:r>
        <w:t>……</w:t>
      </w:r>
    </w:p>
  </w:footnote>
  <w:footnote w:id="10">
    <w:p w14:paraId="2317854A">
      <w:pPr>
        <w:pStyle w:val="7"/>
      </w:pPr>
      <w:r>
        <w:rPr>
          <w:rStyle w:val="14"/>
        </w:rPr>
        <w:t>[</w:t>
      </w:r>
      <w:r>
        <w:rPr>
          <w:rStyle w:val="14"/>
          <w:rFonts w:hint="eastAsia"/>
        </w:rPr>
        <w:t>11</w:t>
      </w:r>
      <w:r>
        <w:rPr>
          <w:rStyle w:val="14"/>
        </w:rPr>
        <w:t>]</w:t>
      </w:r>
      <w:r>
        <w:rPr>
          <w:rFonts w:hint="eastAsia"/>
        </w:rPr>
        <w:t>《中华人民共和国安全生产法》第四十五条：生产经营单位必须为从业人员提供符合国家标准或者行业标准的劳动防护用品，并监督、教育从业人员按照使用规则佩戴、使用。</w:t>
      </w:r>
    </w:p>
  </w:footnote>
  <w:footnote w:id="11">
    <w:p w14:paraId="4AD75BD9">
      <w:pPr>
        <w:pStyle w:val="7"/>
      </w:pPr>
      <w:r>
        <w:rPr>
          <w:rStyle w:val="14"/>
        </w:rPr>
        <w:t>[</w:t>
      </w:r>
      <w:r>
        <w:rPr>
          <w:rStyle w:val="14"/>
          <w:rFonts w:hint="eastAsia"/>
        </w:rPr>
        <w:t>12</w:t>
      </w:r>
      <w:r>
        <w:rPr>
          <w:rStyle w:val="14"/>
        </w:rPr>
        <w:t>]</w:t>
      </w:r>
      <w:r>
        <w:rPr>
          <w:rFonts w:hint="eastAsia"/>
        </w:rPr>
        <w:t>《中华人民共和国安全生产法》第五十七条：从业人员在作业过程中，应当严格落实岗位安全责任，遵守本单位的安全生产规章制度和操作规程，服从管理，正确佩戴和使用劳动防护用品。</w:t>
      </w:r>
    </w:p>
  </w:footnote>
  <w:footnote w:id="12">
    <w:p w14:paraId="52A5DB91">
      <w:pPr>
        <w:pStyle w:val="7"/>
      </w:pPr>
      <w:r>
        <w:rPr>
          <w:rStyle w:val="14"/>
        </w:rPr>
        <w:t>[</w:t>
      </w:r>
      <w:r>
        <w:rPr>
          <w:rStyle w:val="14"/>
          <w:rFonts w:hint="eastAsia"/>
        </w:rPr>
        <w:t>13</w:t>
      </w:r>
      <w:r>
        <w:rPr>
          <w:rStyle w:val="14"/>
        </w:rPr>
        <w:t>]</w:t>
      </w:r>
      <w:r>
        <w:rPr>
          <w:rFonts w:hint="eastAsia"/>
        </w:rPr>
        <w:t>《中华人民共和国安全生产法》第三十条第一款：生产经营单位的特种作业人员必须按照国家有关规定经专门的安全作业培训，取得相应资格，方可上岗作业。</w:t>
      </w:r>
    </w:p>
  </w:footnote>
  <w:footnote w:id="13">
    <w:p w14:paraId="6424C6F6">
      <w:pPr>
        <w:pStyle w:val="7"/>
      </w:pPr>
      <w:r>
        <w:rPr>
          <w:rStyle w:val="14"/>
        </w:rPr>
        <w:t>[</w:t>
      </w:r>
      <w:r>
        <w:rPr>
          <w:rStyle w:val="14"/>
          <w:rFonts w:hint="eastAsia"/>
        </w:rPr>
        <w:t>14</w:t>
      </w:r>
      <w:r>
        <w:rPr>
          <w:rStyle w:val="14"/>
        </w:rPr>
        <w:t>]</w:t>
      </w:r>
      <w:r>
        <w:rPr>
          <w:rFonts w:hint="eastAsia"/>
        </w:rPr>
        <w:t>《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footnote>
  <w:footnote w:id="14">
    <w:p w14:paraId="1F571A1A">
      <w:pPr>
        <w:pStyle w:val="7"/>
      </w:pPr>
      <w:r>
        <w:rPr>
          <w:rStyle w:val="14"/>
        </w:rPr>
        <w:t>[1</w:t>
      </w:r>
      <w:r>
        <w:rPr>
          <w:rStyle w:val="14"/>
          <w:rFonts w:hint="eastAsia"/>
        </w:rPr>
        <w:t>5</w:t>
      </w:r>
      <w:r>
        <w:rPr>
          <w:rStyle w:val="14"/>
        </w:rPr>
        <w:t>]</w:t>
      </w:r>
      <w:r>
        <w:rPr>
          <w:rFonts w:hint="eastAsia"/>
        </w:rPr>
        <w:t>《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footnote>
  <w:footnote w:id="15">
    <w:p w14:paraId="4959F047">
      <w:pPr>
        <w:pStyle w:val="7"/>
      </w:pPr>
      <w:r>
        <w:rPr>
          <w:rStyle w:val="14"/>
        </w:rPr>
        <w:t>[1</w:t>
      </w:r>
      <w:r>
        <w:rPr>
          <w:rStyle w:val="14"/>
          <w:rFonts w:hint="eastAsia"/>
        </w:rPr>
        <w:t>6</w:t>
      </w:r>
      <w:r>
        <w:rPr>
          <w:rStyle w:val="14"/>
        </w:rPr>
        <w:t>]</w:t>
      </w:r>
      <w:r>
        <w:rPr>
          <w:rFonts w:hint="eastAsia"/>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6">
    <w:p w14:paraId="3DD11B0C">
      <w:pPr>
        <w:pStyle w:val="7"/>
      </w:pPr>
      <w:r>
        <w:rPr>
          <w:rStyle w:val="14"/>
        </w:rPr>
        <w:t>[</w:t>
      </w:r>
      <w:r>
        <w:rPr>
          <w:rStyle w:val="14"/>
          <w:rFonts w:hint="eastAsia"/>
        </w:rPr>
        <w:t>17</w:t>
      </w:r>
      <w:r>
        <w:rPr>
          <w:rStyle w:val="14"/>
        </w:rPr>
        <w:t>]</w:t>
      </w:r>
      <w:r>
        <w:rPr>
          <w:rFonts w:hint="eastAsia"/>
        </w:rPr>
        <w:t>《中华人民共和国安全生产法》第四十一条第一款、第二款：生产经营单位应当建立安全风险分级管控制度，按照安全风险分级采取相应的管控措施。</w:t>
      </w:r>
    </w:p>
    <w:p w14:paraId="7CD2FEB6">
      <w:pPr>
        <w:pStyle w:val="7"/>
      </w:pPr>
      <w:r>
        <w:rPr>
          <w:rFonts w:hint="eastAsia"/>
        </w:rPr>
        <w:t>生产经营单位应当建立健全并落实生产安全事故隐患排查治理制度，采取技术、管理措施，及时发现并消除事故隐患。……</w:t>
      </w:r>
      <w:r>
        <w:t> </w:t>
      </w:r>
    </w:p>
  </w:footnote>
  <w:footnote w:id="17">
    <w:p w14:paraId="2EBE9FE5">
      <w:pPr>
        <w:pStyle w:val="7"/>
      </w:pPr>
      <w:r>
        <w:rPr>
          <w:rStyle w:val="14"/>
        </w:rPr>
        <w:t>[</w:t>
      </w:r>
      <w:r>
        <w:rPr>
          <w:rStyle w:val="14"/>
          <w:rFonts w:hint="eastAsia"/>
        </w:rPr>
        <w:t>18</w:t>
      </w:r>
      <w:r>
        <w:rPr>
          <w:rStyle w:val="14"/>
        </w:rPr>
        <w:t>]</w:t>
      </w:r>
      <w:r>
        <w:rPr>
          <w:rFonts w:hint="eastAsia"/>
        </w:rPr>
        <w:t>《中华人民共和国安全生产法》第四十五条：生产经营单位必须为从业人员提供符合国家标准或者行业标准的劳动防护用品，并监督、教育从业人员按照使用规则佩戴、使用。</w:t>
      </w:r>
      <w:r>
        <w:t> </w:t>
      </w:r>
    </w:p>
  </w:footnote>
  <w:footnote w:id="18">
    <w:p w14:paraId="5BE36CE0">
      <w:pPr>
        <w:pStyle w:val="7"/>
      </w:pPr>
      <w:r>
        <w:rPr>
          <w:rStyle w:val="14"/>
        </w:rPr>
        <w:t>[</w:t>
      </w:r>
      <w:r>
        <w:rPr>
          <w:rStyle w:val="14"/>
          <w:rFonts w:hint="eastAsia"/>
        </w:rPr>
        <w:t>19</w:t>
      </w:r>
      <w:r>
        <w:rPr>
          <w:rStyle w:val="14"/>
        </w:rPr>
        <w:t>]</w:t>
      </w:r>
      <w:r>
        <w:rPr>
          <w:rFonts w:hint="eastAsia"/>
        </w:rPr>
        <w:t>《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F7D1E">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B5D70">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38"/>
    <w:footnote w:id="3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042"/>
    <w:rsid w:val="000076A7"/>
    <w:rsid w:val="00016C01"/>
    <w:rsid w:val="0003044C"/>
    <w:rsid w:val="000314E5"/>
    <w:rsid w:val="00032DE5"/>
    <w:rsid w:val="0003788A"/>
    <w:rsid w:val="00037893"/>
    <w:rsid w:val="00046BB6"/>
    <w:rsid w:val="00047569"/>
    <w:rsid w:val="000506C0"/>
    <w:rsid w:val="0005251A"/>
    <w:rsid w:val="000629B1"/>
    <w:rsid w:val="000660C3"/>
    <w:rsid w:val="00083C04"/>
    <w:rsid w:val="00095D52"/>
    <w:rsid w:val="000A0A57"/>
    <w:rsid w:val="000A5E9B"/>
    <w:rsid w:val="000A5F8E"/>
    <w:rsid w:val="000B2286"/>
    <w:rsid w:val="000B25E8"/>
    <w:rsid w:val="000C292E"/>
    <w:rsid w:val="000D224F"/>
    <w:rsid w:val="000E1B46"/>
    <w:rsid w:val="000E2E41"/>
    <w:rsid w:val="000F6761"/>
    <w:rsid w:val="001034DD"/>
    <w:rsid w:val="0010669B"/>
    <w:rsid w:val="001128AD"/>
    <w:rsid w:val="00113258"/>
    <w:rsid w:val="001146D5"/>
    <w:rsid w:val="00120A97"/>
    <w:rsid w:val="0012286A"/>
    <w:rsid w:val="0013222B"/>
    <w:rsid w:val="0013313B"/>
    <w:rsid w:val="00134C32"/>
    <w:rsid w:val="00144D0A"/>
    <w:rsid w:val="001464EB"/>
    <w:rsid w:val="00151B93"/>
    <w:rsid w:val="00154389"/>
    <w:rsid w:val="00155D5C"/>
    <w:rsid w:val="001943BE"/>
    <w:rsid w:val="001D0E23"/>
    <w:rsid w:val="001F3753"/>
    <w:rsid w:val="002022CE"/>
    <w:rsid w:val="00210823"/>
    <w:rsid w:val="00216349"/>
    <w:rsid w:val="00223A04"/>
    <w:rsid w:val="00223B76"/>
    <w:rsid w:val="002279FD"/>
    <w:rsid w:val="002322B2"/>
    <w:rsid w:val="00232554"/>
    <w:rsid w:val="00250D39"/>
    <w:rsid w:val="0025579F"/>
    <w:rsid w:val="002559EB"/>
    <w:rsid w:val="00261BD9"/>
    <w:rsid w:val="0027062F"/>
    <w:rsid w:val="002747FF"/>
    <w:rsid w:val="00277D9D"/>
    <w:rsid w:val="00280A87"/>
    <w:rsid w:val="00292B0E"/>
    <w:rsid w:val="00293F97"/>
    <w:rsid w:val="002A5D88"/>
    <w:rsid w:val="002B0126"/>
    <w:rsid w:val="002E1334"/>
    <w:rsid w:val="002F24C8"/>
    <w:rsid w:val="00306680"/>
    <w:rsid w:val="00315E2F"/>
    <w:rsid w:val="00320C98"/>
    <w:rsid w:val="00327C32"/>
    <w:rsid w:val="00332224"/>
    <w:rsid w:val="003550C9"/>
    <w:rsid w:val="00355385"/>
    <w:rsid w:val="003616F6"/>
    <w:rsid w:val="003726B6"/>
    <w:rsid w:val="003752AC"/>
    <w:rsid w:val="003771A7"/>
    <w:rsid w:val="00382804"/>
    <w:rsid w:val="00383C62"/>
    <w:rsid w:val="0039057A"/>
    <w:rsid w:val="00390F10"/>
    <w:rsid w:val="003936AF"/>
    <w:rsid w:val="00394167"/>
    <w:rsid w:val="003965FD"/>
    <w:rsid w:val="003A5462"/>
    <w:rsid w:val="003A7290"/>
    <w:rsid w:val="003B6FFF"/>
    <w:rsid w:val="003C567B"/>
    <w:rsid w:val="003D1471"/>
    <w:rsid w:val="003E484A"/>
    <w:rsid w:val="003F4F79"/>
    <w:rsid w:val="003F6557"/>
    <w:rsid w:val="00400F1B"/>
    <w:rsid w:val="00403AE5"/>
    <w:rsid w:val="00415570"/>
    <w:rsid w:val="0042062E"/>
    <w:rsid w:val="00422378"/>
    <w:rsid w:val="004419D1"/>
    <w:rsid w:val="00441EC2"/>
    <w:rsid w:val="00443623"/>
    <w:rsid w:val="0044571C"/>
    <w:rsid w:val="00455BC4"/>
    <w:rsid w:val="0045758A"/>
    <w:rsid w:val="00460703"/>
    <w:rsid w:val="00476E9D"/>
    <w:rsid w:val="00484359"/>
    <w:rsid w:val="004940BC"/>
    <w:rsid w:val="0049561D"/>
    <w:rsid w:val="004A6062"/>
    <w:rsid w:val="004B720F"/>
    <w:rsid w:val="004B7A5F"/>
    <w:rsid w:val="004C2E6A"/>
    <w:rsid w:val="004C4E8C"/>
    <w:rsid w:val="004E58D3"/>
    <w:rsid w:val="004F5B50"/>
    <w:rsid w:val="00500728"/>
    <w:rsid w:val="00512325"/>
    <w:rsid w:val="00514F0D"/>
    <w:rsid w:val="00521374"/>
    <w:rsid w:val="00525DAA"/>
    <w:rsid w:val="00536EBB"/>
    <w:rsid w:val="0055773B"/>
    <w:rsid w:val="00560C5D"/>
    <w:rsid w:val="00585FDB"/>
    <w:rsid w:val="00587368"/>
    <w:rsid w:val="00595031"/>
    <w:rsid w:val="005A127E"/>
    <w:rsid w:val="005A62AF"/>
    <w:rsid w:val="005B21B2"/>
    <w:rsid w:val="005C4614"/>
    <w:rsid w:val="005D3DBE"/>
    <w:rsid w:val="005E3740"/>
    <w:rsid w:val="005E5325"/>
    <w:rsid w:val="005F091B"/>
    <w:rsid w:val="005F7AC3"/>
    <w:rsid w:val="00611BB8"/>
    <w:rsid w:val="00613D5A"/>
    <w:rsid w:val="00620C8B"/>
    <w:rsid w:val="00621197"/>
    <w:rsid w:val="00627233"/>
    <w:rsid w:val="00632832"/>
    <w:rsid w:val="006446B0"/>
    <w:rsid w:val="00652D35"/>
    <w:rsid w:val="00662D77"/>
    <w:rsid w:val="00672E26"/>
    <w:rsid w:val="00681DDE"/>
    <w:rsid w:val="0069049E"/>
    <w:rsid w:val="00695892"/>
    <w:rsid w:val="006A2BA3"/>
    <w:rsid w:val="006A323C"/>
    <w:rsid w:val="006D18ED"/>
    <w:rsid w:val="006D390B"/>
    <w:rsid w:val="00703EB7"/>
    <w:rsid w:val="00705FCD"/>
    <w:rsid w:val="00712864"/>
    <w:rsid w:val="00716F2B"/>
    <w:rsid w:val="0072337A"/>
    <w:rsid w:val="00724C29"/>
    <w:rsid w:val="00742AD8"/>
    <w:rsid w:val="00742F96"/>
    <w:rsid w:val="007574EA"/>
    <w:rsid w:val="007742E8"/>
    <w:rsid w:val="00780085"/>
    <w:rsid w:val="007825DD"/>
    <w:rsid w:val="007865C0"/>
    <w:rsid w:val="00792A62"/>
    <w:rsid w:val="007963DB"/>
    <w:rsid w:val="007A12D2"/>
    <w:rsid w:val="007B4E15"/>
    <w:rsid w:val="007C6850"/>
    <w:rsid w:val="007C743E"/>
    <w:rsid w:val="007C7FEB"/>
    <w:rsid w:val="007D1322"/>
    <w:rsid w:val="007E06FC"/>
    <w:rsid w:val="007E5FDA"/>
    <w:rsid w:val="007F570B"/>
    <w:rsid w:val="007F63FC"/>
    <w:rsid w:val="00815476"/>
    <w:rsid w:val="00820002"/>
    <w:rsid w:val="00825431"/>
    <w:rsid w:val="0082786A"/>
    <w:rsid w:val="008458E1"/>
    <w:rsid w:val="008462A9"/>
    <w:rsid w:val="008571DA"/>
    <w:rsid w:val="00864F79"/>
    <w:rsid w:val="00870089"/>
    <w:rsid w:val="00875C5A"/>
    <w:rsid w:val="00876D22"/>
    <w:rsid w:val="00881396"/>
    <w:rsid w:val="00883CE0"/>
    <w:rsid w:val="00892780"/>
    <w:rsid w:val="008928F4"/>
    <w:rsid w:val="00893996"/>
    <w:rsid w:val="008A1051"/>
    <w:rsid w:val="008A1E89"/>
    <w:rsid w:val="008B7203"/>
    <w:rsid w:val="008C06FA"/>
    <w:rsid w:val="008C30A9"/>
    <w:rsid w:val="008C59D5"/>
    <w:rsid w:val="008D210E"/>
    <w:rsid w:val="008D2D99"/>
    <w:rsid w:val="008D6804"/>
    <w:rsid w:val="008D6AEF"/>
    <w:rsid w:val="008D733F"/>
    <w:rsid w:val="008E50B1"/>
    <w:rsid w:val="008E7064"/>
    <w:rsid w:val="008F398E"/>
    <w:rsid w:val="008F45D5"/>
    <w:rsid w:val="008F7076"/>
    <w:rsid w:val="00903550"/>
    <w:rsid w:val="0090482D"/>
    <w:rsid w:val="00907EBC"/>
    <w:rsid w:val="00921E08"/>
    <w:rsid w:val="00923B41"/>
    <w:rsid w:val="009351FF"/>
    <w:rsid w:val="00946389"/>
    <w:rsid w:val="00952265"/>
    <w:rsid w:val="00962CA6"/>
    <w:rsid w:val="009702B7"/>
    <w:rsid w:val="0097799A"/>
    <w:rsid w:val="0098102D"/>
    <w:rsid w:val="009829A2"/>
    <w:rsid w:val="009869FE"/>
    <w:rsid w:val="00997728"/>
    <w:rsid w:val="009A08DB"/>
    <w:rsid w:val="009A2164"/>
    <w:rsid w:val="009A6124"/>
    <w:rsid w:val="009B0699"/>
    <w:rsid w:val="009C0FD3"/>
    <w:rsid w:val="009D1B4C"/>
    <w:rsid w:val="009D7213"/>
    <w:rsid w:val="009E1F93"/>
    <w:rsid w:val="009E6FDA"/>
    <w:rsid w:val="009F47EB"/>
    <w:rsid w:val="00A06017"/>
    <w:rsid w:val="00A10049"/>
    <w:rsid w:val="00A11846"/>
    <w:rsid w:val="00A20DB2"/>
    <w:rsid w:val="00A219FC"/>
    <w:rsid w:val="00A227E3"/>
    <w:rsid w:val="00A24853"/>
    <w:rsid w:val="00A33ECC"/>
    <w:rsid w:val="00A52334"/>
    <w:rsid w:val="00A55E4C"/>
    <w:rsid w:val="00A64364"/>
    <w:rsid w:val="00A658EE"/>
    <w:rsid w:val="00A711CD"/>
    <w:rsid w:val="00A75437"/>
    <w:rsid w:val="00A8496F"/>
    <w:rsid w:val="00A85E3D"/>
    <w:rsid w:val="00A87172"/>
    <w:rsid w:val="00AA01E6"/>
    <w:rsid w:val="00AA7D89"/>
    <w:rsid w:val="00AB0175"/>
    <w:rsid w:val="00AB2798"/>
    <w:rsid w:val="00AB4763"/>
    <w:rsid w:val="00AB6193"/>
    <w:rsid w:val="00AC261F"/>
    <w:rsid w:val="00AC67DA"/>
    <w:rsid w:val="00AC6970"/>
    <w:rsid w:val="00AD250F"/>
    <w:rsid w:val="00AD39A3"/>
    <w:rsid w:val="00AE0FC0"/>
    <w:rsid w:val="00AE29E5"/>
    <w:rsid w:val="00AE2E97"/>
    <w:rsid w:val="00AE558C"/>
    <w:rsid w:val="00AE7AB4"/>
    <w:rsid w:val="00B070E3"/>
    <w:rsid w:val="00B15359"/>
    <w:rsid w:val="00B15462"/>
    <w:rsid w:val="00B159BA"/>
    <w:rsid w:val="00B2773A"/>
    <w:rsid w:val="00B33B81"/>
    <w:rsid w:val="00B412B7"/>
    <w:rsid w:val="00B46DDF"/>
    <w:rsid w:val="00B5297F"/>
    <w:rsid w:val="00B55F31"/>
    <w:rsid w:val="00B6639B"/>
    <w:rsid w:val="00B759F4"/>
    <w:rsid w:val="00B82E5C"/>
    <w:rsid w:val="00B853C0"/>
    <w:rsid w:val="00B870A7"/>
    <w:rsid w:val="00B92CC1"/>
    <w:rsid w:val="00B940FC"/>
    <w:rsid w:val="00BC288C"/>
    <w:rsid w:val="00BD1A5D"/>
    <w:rsid w:val="00BD363F"/>
    <w:rsid w:val="00BD4CA3"/>
    <w:rsid w:val="00BD76A0"/>
    <w:rsid w:val="00BE4058"/>
    <w:rsid w:val="00C01883"/>
    <w:rsid w:val="00C1347E"/>
    <w:rsid w:val="00C15097"/>
    <w:rsid w:val="00C175F7"/>
    <w:rsid w:val="00C21019"/>
    <w:rsid w:val="00C231BD"/>
    <w:rsid w:val="00C30EF1"/>
    <w:rsid w:val="00C34FFA"/>
    <w:rsid w:val="00C42031"/>
    <w:rsid w:val="00C53545"/>
    <w:rsid w:val="00C606D4"/>
    <w:rsid w:val="00C668C9"/>
    <w:rsid w:val="00C66D53"/>
    <w:rsid w:val="00C6769F"/>
    <w:rsid w:val="00C703DE"/>
    <w:rsid w:val="00C735BF"/>
    <w:rsid w:val="00C8697F"/>
    <w:rsid w:val="00C9226F"/>
    <w:rsid w:val="00CA0CC1"/>
    <w:rsid w:val="00CA3F91"/>
    <w:rsid w:val="00CA49D7"/>
    <w:rsid w:val="00CA4A1F"/>
    <w:rsid w:val="00CF3C49"/>
    <w:rsid w:val="00CF56B9"/>
    <w:rsid w:val="00CF7151"/>
    <w:rsid w:val="00D0408B"/>
    <w:rsid w:val="00D237BE"/>
    <w:rsid w:val="00D30F5B"/>
    <w:rsid w:val="00D406A8"/>
    <w:rsid w:val="00D55300"/>
    <w:rsid w:val="00D6191F"/>
    <w:rsid w:val="00D61A04"/>
    <w:rsid w:val="00D63188"/>
    <w:rsid w:val="00D712D2"/>
    <w:rsid w:val="00D7152C"/>
    <w:rsid w:val="00D734BB"/>
    <w:rsid w:val="00D8105D"/>
    <w:rsid w:val="00D87E6A"/>
    <w:rsid w:val="00D94972"/>
    <w:rsid w:val="00D956DF"/>
    <w:rsid w:val="00D966C4"/>
    <w:rsid w:val="00DA2DE5"/>
    <w:rsid w:val="00DA301E"/>
    <w:rsid w:val="00DA5775"/>
    <w:rsid w:val="00DA7D40"/>
    <w:rsid w:val="00DB4228"/>
    <w:rsid w:val="00DD5127"/>
    <w:rsid w:val="00DE2317"/>
    <w:rsid w:val="00DF30D6"/>
    <w:rsid w:val="00DF7948"/>
    <w:rsid w:val="00E0348D"/>
    <w:rsid w:val="00E14503"/>
    <w:rsid w:val="00E21103"/>
    <w:rsid w:val="00E302ED"/>
    <w:rsid w:val="00E3435A"/>
    <w:rsid w:val="00E37E96"/>
    <w:rsid w:val="00E421CF"/>
    <w:rsid w:val="00E45F98"/>
    <w:rsid w:val="00E51150"/>
    <w:rsid w:val="00E636DC"/>
    <w:rsid w:val="00E6531E"/>
    <w:rsid w:val="00E67672"/>
    <w:rsid w:val="00E75558"/>
    <w:rsid w:val="00E76A50"/>
    <w:rsid w:val="00E865CA"/>
    <w:rsid w:val="00E93B09"/>
    <w:rsid w:val="00EA162F"/>
    <w:rsid w:val="00EB0745"/>
    <w:rsid w:val="00EB0E4F"/>
    <w:rsid w:val="00EB7ED0"/>
    <w:rsid w:val="00EC23B4"/>
    <w:rsid w:val="00EC3042"/>
    <w:rsid w:val="00ED4C31"/>
    <w:rsid w:val="00EE63E7"/>
    <w:rsid w:val="00EF1931"/>
    <w:rsid w:val="00EF505A"/>
    <w:rsid w:val="00F044DB"/>
    <w:rsid w:val="00F062F7"/>
    <w:rsid w:val="00F1531E"/>
    <w:rsid w:val="00F31B2F"/>
    <w:rsid w:val="00F365CB"/>
    <w:rsid w:val="00F62516"/>
    <w:rsid w:val="00F63831"/>
    <w:rsid w:val="00F7211A"/>
    <w:rsid w:val="00F72D74"/>
    <w:rsid w:val="00F9215D"/>
    <w:rsid w:val="00F9294A"/>
    <w:rsid w:val="00F97366"/>
    <w:rsid w:val="00FB2766"/>
    <w:rsid w:val="00FB7753"/>
    <w:rsid w:val="00FC0665"/>
    <w:rsid w:val="00FC64D3"/>
    <w:rsid w:val="00FE1E5B"/>
    <w:rsid w:val="00FE653D"/>
    <w:rsid w:val="00FE6792"/>
    <w:rsid w:val="27E965F8"/>
    <w:rsid w:val="3B206968"/>
    <w:rsid w:val="3BDB10B8"/>
    <w:rsid w:val="6B0D1266"/>
    <w:rsid w:val="737C5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7"/>
    <w:qFormat/>
    <w:uiPriority w:val="0"/>
    <w:rPr>
      <w:sz w:val="18"/>
      <w:szCs w:val="18"/>
    </w:rPr>
  </w:style>
  <w:style w:type="paragraph" w:styleId="4">
    <w:name w:val="footer"/>
    <w:basedOn w:val="1"/>
    <w:link w:val="19"/>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uiPriority w:val="39"/>
  </w:style>
  <w:style w:type="paragraph" w:styleId="7">
    <w:name w:val="footnote text"/>
    <w:basedOn w:val="1"/>
    <w:link w:val="18"/>
    <w:qFormat/>
    <w:uiPriority w:val="0"/>
    <w:pPr>
      <w:snapToGrid w:val="0"/>
      <w:jc w:val="left"/>
    </w:pPr>
    <w:rPr>
      <w:sz w:val="18"/>
      <w:szCs w:val="18"/>
    </w:rPr>
  </w:style>
  <w:style w:type="paragraph" w:styleId="8">
    <w:name w:val="toc 2"/>
    <w:basedOn w:val="1"/>
    <w:next w:val="1"/>
    <w:autoRedefine/>
    <w:qFormat/>
    <w:uiPriority w:val="39"/>
    <w:pPr>
      <w:ind w:left="420" w:leftChars="200"/>
    </w:pPr>
  </w:style>
  <w:style w:type="table" w:styleId="10">
    <w:name w:val="Table Grid"/>
    <w:basedOn w:val="9"/>
    <w:qFormat/>
    <w:uiPriority w:val="59"/>
    <w:rPr>
      <w:rFonts w:eastAsia="微软雅黑" w:asciiTheme="minorHAnsi" w:hAnsi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unhideWhenUsed/>
    <w:qFormat/>
    <w:uiPriority w:val="99"/>
    <w:rPr>
      <w:color w:val="0000FF" w:themeColor="hyperlink"/>
      <w:u w:val="single"/>
    </w:rPr>
  </w:style>
  <w:style w:type="character" w:styleId="14">
    <w:name w:val="footnote reference"/>
    <w:basedOn w:val="11"/>
    <w:qFormat/>
    <w:uiPriority w:val="0"/>
    <w:rPr>
      <w:vertAlign w:val="superscript"/>
    </w:rPr>
  </w:style>
  <w:style w:type="character" w:customStyle="1" w:styleId="15">
    <w:name w:val="标题 1 Char"/>
    <w:basedOn w:val="11"/>
    <w:link w:val="2"/>
    <w:qFormat/>
    <w:uiPriority w:val="0"/>
    <w:rPr>
      <w:b/>
      <w:bCs/>
      <w:kern w:val="44"/>
      <w:sz w:val="44"/>
      <w:szCs w:val="44"/>
    </w:rPr>
  </w:style>
  <w:style w:type="paragraph" w:customStyle="1" w:styleId="16">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17">
    <w:name w:val="批注框文本 Char"/>
    <w:basedOn w:val="11"/>
    <w:link w:val="3"/>
    <w:qFormat/>
    <w:uiPriority w:val="0"/>
    <w:rPr>
      <w:kern w:val="2"/>
      <w:sz w:val="18"/>
      <w:szCs w:val="18"/>
    </w:rPr>
  </w:style>
  <w:style w:type="character" w:customStyle="1" w:styleId="18">
    <w:name w:val="脚注文本 Char"/>
    <w:basedOn w:val="11"/>
    <w:link w:val="7"/>
    <w:uiPriority w:val="0"/>
    <w:rPr>
      <w:kern w:val="2"/>
      <w:sz w:val="18"/>
      <w:szCs w:val="18"/>
    </w:rPr>
  </w:style>
  <w:style w:type="character" w:customStyle="1" w:styleId="19">
    <w:name w:val="页脚 Char"/>
    <w:basedOn w:val="11"/>
    <w:link w:val="4"/>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ckup\Documents\&#21326;&#23433;&#2115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B94100B-BA88-413D-B227-83C90FC48D4A}">
  <ds:schemaRefs/>
</ds:datastoreItem>
</file>

<file path=docProps/app.xml><?xml version="1.0" encoding="utf-8"?>
<Properties xmlns="http://schemas.openxmlformats.org/officeDocument/2006/extended-properties" xmlns:vt="http://schemas.openxmlformats.org/officeDocument/2006/docPropsVTypes">
  <Template>华安办</Template>
  <Pages>18</Pages>
  <Words>5840</Words>
  <Characters>6099</Characters>
  <Lines>57</Lines>
  <Paragraphs>16</Paragraphs>
  <TotalTime>1550</TotalTime>
  <ScaleCrop>false</ScaleCrop>
  <LinksUpToDate>false</LinksUpToDate>
  <CharactersWithSpaces>6205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2023-11-15T02:31:00Z</dcterms:created>
  <dc:creator>Administrator</dc:creator>
  <cp:lastModifiedBy>WPS_1762309350</cp:lastModifiedBy>
  <cp:lastPrinted>2023-12-05T06:33:00Z</cp:lastPrinted>
  <dcterms:modified xsi:type="dcterms:W3CDTF">2026-05-08T08:22:17Z</dcterms:modified>
  <dc:title>某某省人民政府办公厅文件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eyJoZGlkIjoiOTEzMDlmYzJlMTgxODliZDAxNzEwNzMzNDU5MzE3ODkiLCJ1c2VySWQiOiIxNzYzNDU4MjEzIn0=</vt:lpwstr>
  </property>
  <property fmtid="{D5CDD505-2E9C-101B-9397-08002B2CF9AE}" pid="4" name="ICV">
    <vt:lpwstr>CCF2446EE6C6417BBC7A292B6211A879_13</vt:lpwstr>
  </property>
</Properties>
</file>