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海沧嵩屿厦门船舶重工股份有限公司</w:t>
      </w:r>
    </w:p>
    <w:p>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“3•11”一般触电事故调查报告</w:t>
      </w:r>
    </w:p>
    <w:p>
      <w:pPr>
        <w:spacing w:line="560" w:lineRule="exact"/>
        <w:jc w:val="center"/>
        <w:rPr>
          <w:rFonts w:ascii="方正小标宋简体" w:eastAsia="方正小标宋简体"/>
          <w:color w:val="FFFFFF" w:themeColor="background1"/>
          <w:sz w:val="44"/>
          <w:szCs w:val="44"/>
        </w:rPr>
      </w:pPr>
      <w:r>
        <w:rPr>
          <w:rFonts w:hint="eastAsia" w:ascii="方正小标宋简体" w:eastAsia="方正小标宋简体"/>
          <w:color w:val="FFFFFF" w:themeColor="background1"/>
          <w:sz w:val="44"/>
          <w:szCs w:val="44"/>
        </w:rPr>
        <w:t>（复稿）</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2025年3月11日14时56分许，位于海沧区嵩屿街道排头路72号的厦门船舶重工股份有限公司在建4.1万吨油化船污液舱（左）发生一起一般触电事故，造成1人死亡、3名救援人员受伤，直接经济损失约197.25万元。</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市政府主要领导、分管领导对伤员救治、事故调查和善后处置等工作分别作出批示，要求“依法依规严肃追责，杜绝大事化小、小事化了；举一反三，对分包单位进行专项整治，不折不扣落实安全生产责任”，并由市安委会对该起事故查处实行挂牌督办。接警后，市应急局分管领导和相关处室负责人会同海沧区领导及相关行业部门均赶赴事故现场，就事故处置工作提出了具体要求。</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为认真做好事故调查工作，</w:t>
      </w:r>
      <w:r>
        <w:rPr>
          <w:rFonts w:hint="eastAsia" w:ascii="仿宋_GB2312" w:eastAsia="仿宋_GB2312" w:cs="仿宋_GB2312"/>
          <w:kern w:val="0"/>
          <w:sz w:val="32"/>
          <w:szCs w:val="32"/>
        </w:rPr>
        <w:t>依据有关法律法规和</w:t>
      </w:r>
      <w:r>
        <w:rPr>
          <w:rFonts w:hint="eastAsia" w:ascii="仿宋_GB2312" w:hAnsi="仿宋_GB2312" w:eastAsia="仿宋_GB2312" w:cs="仿宋_GB2312"/>
          <w:sz w:val="32"/>
          <w:szCs w:val="32"/>
        </w:rPr>
        <w:t>《厦门市海沧区人民政府关于授权区应急管理局、区住建和交通局负责组织事故调查组进行生产安全事故调查的通知》（厦海政办〔2021〕173号）等规定，海沧区政府成立了由区应急局牵头，海沧公安分局、区科技和工信商务局、区总工会、嵩屿街道办等相关单位参加的海沧嵩屿厦门船舶重工股份有限公司“3</w:t>
      </w:r>
      <w:r>
        <w:rPr>
          <w:rFonts w:hint="eastAsia" w:ascii="宋体" w:hAnsi="宋体" w:cs="宋体"/>
          <w:sz w:val="32"/>
          <w:szCs w:val="32"/>
        </w:rPr>
        <w:t>•</w:t>
      </w:r>
      <w:r>
        <w:rPr>
          <w:rFonts w:hint="eastAsia" w:ascii="仿宋_GB2312" w:hAnsi="仿宋_GB2312" w:eastAsia="仿宋_GB2312" w:cs="仿宋_GB2312"/>
          <w:sz w:val="32"/>
          <w:szCs w:val="32"/>
        </w:rPr>
        <w:t>11”一般触电事故调查组（以下简称事故调查组）,对本次事故开展调查工作。</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调查组认真贯彻落实市政府领导批示精神和区政府领导具体要求，坚持“科学严谨、依法依规、实事求是、注重实效”和“四不放过”原则，通过现场勘查、检验鉴定、调查取证、调阅资料及人员问询等方式，查明了事故经过、发生原因、人员伤亡和直接经济损失等情况，认定了事故性质和事故相关企业及相关人员的责任，提出了对事故有关责任人员及责任单位的处理建议，并针对事故原因及暴露出的突出问题，提出了事故防范和整改措施建议。</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经调查认定，</w:t>
      </w:r>
      <w:r>
        <w:rPr>
          <w:rFonts w:hint="eastAsia" w:ascii="仿宋_GB2312" w:hAnsi="仿宋_GB2312" w:eastAsia="仿宋_GB2312" w:cs="仿宋_GB2312"/>
          <w:b/>
          <w:sz w:val="32"/>
          <w:szCs w:val="32"/>
        </w:rPr>
        <w:t>海沧嵩屿厦门船舶重工股份有限公司“3</w:t>
      </w:r>
      <w:r>
        <w:rPr>
          <w:rFonts w:hint="eastAsia" w:ascii="宋体" w:hAnsi="宋体" w:cs="宋体"/>
          <w:b/>
          <w:sz w:val="32"/>
          <w:szCs w:val="32"/>
        </w:rPr>
        <w:t>•</w:t>
      </w:r>
      <w:r>
        <w:rPr>
          <w:rFonts w:hint="eastAsia" w:ascii="仿宋_GB2312" w:hAnsi="仿宋_GB2312" w:eastAsia="仿宋_GB2312" w:cs="仿宋_GB2312"/>
          <w:b/>
          <w:sz w:val="32"/>
          <w:szCs w:val="32"/>
        </w:rPr>
        <w:t>11”触电事故是一起因潜水电泵存在电源线破损等安全缺陷导致漏电、临时用电作业现场未正确安装漏电保护装置及事故发生前期应急救援不当引发的一般生产安全责任事故</w:t>
      </w:r>
      <w:r>
        <w:rPr>
          <w:rFonts w:hint="eastAsia" w:ascii="仿宋_GB2312" w:hAnsi="仿宋_GB2312" w:eastAsia="仿宋_GB2312" w:cs="仿宋_GB2312"/>
          <w:sz w:val="32"/>
          <w:szCs w:val="32"/>
        </w:rPr>
        <w:t>。</w:t>
      </w:r>
      <w:bookmarkStart w:id="0" w:name="_Toc13063"/>
    </w:p>
    <w:p>
      <w:pPr>
        <w:spacing w:line="570" w:lineRule="exact"/>
        <w:ind w:firstLine="640" w:firstLineChars="200"/>
        <w:outlineLvl w:val="0"/>
        <w:rPr>
          <w:rFonts w:ascii="黑体" w:hAnsi="黑体" w:eastAsia="黑体"/>
          <w:sz w:val="32"/>
          <w:szCs w:val="32"/>
        </w:rPr>
      </w:pPr>
      <w:bookmarkStart w:id="1" w:name="_Toc4133"/>
      <w:bookmarkStart w:id="2" w:name="_Toc1809174395"/>
      <w:bookmarkStart w:id="3" w:name="_Toc196489747"/>
      <w:r>
        <w:rPr>
          <w:rFonts w:ascii="黑体" w:hAnsi="黑体" w:eastAsia="黑体"/>
          <w:sz w:val="32"/>
          <w:szCs w:val="32"/>
        </w:rPr>
        <w:t>一、事故基本情况</w:t>
      </w:r>
      <w:bookmarkEnd w:id="0"/>
      <w:bookmarkEnd w:id="1"/>
      <w:bookmarkEnd w:id="2"/>
      <w:bookmarkEnd w:id="3"/>
    </w:p>
    <w:p>
      <w:pPr>
        <w:spacing w:line="570" w:lineRule="exact"/>
        <w:ind w:firstLine="640" w:firstLineChars="200"/>
        <w:outlineLvl w:val="1"/>
        <w:rPr>
          <w:rFonts w:ascii="楷体" w:hAnsi="楷体" w:eastAsia="楷体"/>
          <w:bCs/>
          <w:sz w:val="32"/>
          <w:szCs w:val="32"/>
        </w:rPr>
      </w:pPr>
      <w:bookmarkStart w:id="4" w:name="_Toc196489748"/>
      <w:bookmarkStart w:id="5" w:name="_Toc2001757086"/>
      <w:r>
        <w:rPr>
          <w:rFonts w:hint="eastAsia" w:ascii="楷体_GB2312" w:hAnsi="楷体_GB2312" w:eastAsia="楷体_GB2312" w:cs="楷体_GB2312"/>
          <w:bCs/>
          <w:sz w:val="32"/>
          <w:szCs w:val="32"/>
        </w:rPr>
        <w:t>（一）事故发生单位及相关单位概况</w:t>
      </w:r>
      <w:bookmarkEnd w:id="4"/>
      <w:bookmarkEnd w:id="5"/>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厦门船舶重工股份有限公司（以下简称厦船重工公司）成立于2002年4月28日，公司类型为有限责任公司，住所为福建省厦门市海沧区排头路72号，主要经营范围：船舶制造、金属船舶制造等。该公司本部员工约800人，外协单位共30家、约3400人；设有安全环保部，配备专职安全员14人，同时公司涂装部、搭载部等作业及保障部门另配有专职安全员7人。</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厦门靖华通船舶工程有限公司（以下简称厦门靖华通公司），为厦船重工公司的外协单位，成立于2023年8月21日，公司类型为有限责任公司，住所为福建省厦门市海沧区排头路70-40号，主要经营范围：金属船舶制造、建设工程施工等。该公司现有员工14人，下设酸洗和抽水两个作业班组，抽水班组长为杨某刚，作业人员安全生产教育培训由厦船重工公司牵头按厦船重工公司厂级、车间级和厦门靖华通公司班组级三级实施。</w:t>
      </w:r>
    </w:p>
    <w:p>
      <w:pPr>
        <w:spacing w:line="570" w:lineRule="exact"/>
        <w:ind w:firstLine="640" w:firstLineChars="200"/>
        <w:rPr>
          <w:rFonts w:ascii="仿宋_GB2312" w:hAnsi="仿宋_GB2312" w:eastAsia="仿宋_GB2312" w:cs="仿宋_GB2312"/>
          <w:sz w:val="32"/>
          <w:szCs w:val="32"/>
        </w:rPr>
      </w:pPr>
      <w:bookmarkStart w:id="6" w:name="_Toc196489749"/>
      <w:bookmarkStart w:id="7" w:name="_Toc196488698"/>
      <w:bookmarkStart w:id="8" w:name="_Toc196489457"/>
      <w:r>
        <w:rPr>
          <w:rFonts w:hint="eastAsia" w:ascii="仿宋_GB2312" w:hAnsi="仿宋_GB2312" w:eastAsia="仿宋_GB2312" w:cs="仿宋_GB2312"/>
          <w:sz w:val="32"/>
          <w:szCs w:val="32"/>
        </w:rPr>
        <w:t>厦船重工公司（甲方）和厦门靖华通公司（乙方）签订有《2025年度工程施工承揽协议》，约定乙方根据甲方生产实际需要安排劳力入厂施工，协助甲方做好船舶下水、系泊、试航、进坞工程配合工作</w:t>
      </w:r>
      <w:bookmarkEnd w:id="6"/>
      <w:bookmarkEnd w:id="7"/>
      <w:bookmarkEnd w:id="8"/>
      <w:r>
        <w:rPr>
          <w:rFonts w:hint="eastAsia" w:ascii="仿宋_GB2312" w:hAnsi="仿宋_GB2312" w:eastAsia="仿宋_GB2312" w:cs="仿宋_GB2312"/>
          <w:sz w:val="32"/>
          <w:szCs w:val="32"/>
        </w:rPr>
        <w:t>。双方另签有《安全生产责任管理协议书》一份,约定：乙方是安全生产责任主体单位，必须对其承担工程的安全生产工作全面负责，法人代表是安全生产的第一责任人，乙方必须按照国家法律法规要求，落实本单位安全自主管理，建立、健全本单位安全生产责任制，保证本单位安全生产投入的有效实施，督促、检查本单位的安全生产工作，及时消除生产安全事故隐患。</w:t>
      </w:r>
    </w:p>
    <w:p>
      <w:pPr>
        <w:spacing w:line="570" w:lineRule="exact"/>
        <w:ind w:firstLine="640" w:firstLineChars="200"/>
        <w:outlineLvl w:val="1"/>
        <w:rPr>
          <w:rFonts w:ascii="楷体" w:hAnsi="楷体" w:eastAsia="楷体" w:cs="楷体_GB2312"/>
          <w:bCs/>
          <w:sz w:val="32"/>
          <w:szCs w:val="32"/>
        </w:rPr>
      </w:pPr>
      <w:bookmarkStart w:id="9" w:name="_Toc1469635980"/>
      <w:bookmarkStart w:id="10" w:name="_Toc196489750"/>
      <w:r>
        <w:rPr>
          <w:rFonts w:hint="eastAsia" w:ascii="楷体_GB2312" w:hAnsi="楷体_GB2312" w:eastAsia="楷体_GB2312" w:cs="楷体_GB2312"/>
          <w:bCs/>
          <w:sz w:val="32"/>
          <w:szCs w:val="32"/>
        </w:rPr>
        <w:t>（二）事故发生单位安全管理情况</w:t>
      </w:r>
      <w:bookmarkEnd w:id="9"/>
      <w:bookmarkEnd w:id="10"/>
      <w:r>
        <w:rPr>
          <w:rFonts w:hint="eastAsia" w:ascii="楷体" w:hAnsi="楷体" w:eastAsia="楷体" w:cs="楷体_GB2312"/>
          <w:bCs/>
          <w:sz w:val="32"/>
          <w:szCs w:val="32"/>
        </w:rPr>
        <w:t xml:space="preserve"> </w:t>
      </w:r>
    </w:p>
    <w:p>
      <w:pPr>
        <w:pStyle w:val="22"/>
        <w:spacing w:line="570" w:lineRule="exact"/>
        <w:ind w:firstLine="640" w:firstLineChars="200"/>
        <w:jc w:val="both"/>
        <w:rPr>
          <w:rFonts w:hAnsi="仿宋_GB2312"/>
          <w:color w:val="auto"/>
          <w:kern w:val="2"/>
          <w:sz w:val="32"/>
          <w:szCs w:val="32"/>
        </w:rPr>
      </w:pPr>
      <w:r>
        <w:rPr>
          <w:rFonts w:hint="eastAsia" w:hAnsi="仿宋_GB2312"/>
          <w:color w:val="auto"/>
          <w:kern w:val="2"/>
          <w:sz w:val="32"/>
          <w:szCs w:val="32"/>
        </w:rPr>
        <w:t>厦船重工公司为安全生产标准化二级达标企业，对事发污液舱按有限空间管理要求进行了风险辨识和分级管控，油漆涂装工序前入舱有限空间作业由涂装、搭载等具体业务部门负责审批，禁止各类配电箱、电焊机入内，但未将清理积水作业临时用电纳入危险作业进行管控并落实专人现场监护，潮湿环境下选用的漏电保护器灵敏度不够；去年以来，先后组织过</w:t>
      </w:r>
      <w:r>
        <w:rPr>
          <w:rFonts w:hAnsi="仿宋_GB2312"/>
          <w:sz w:val="32"/>
          <w:szCs w:val="32"/>
        </w:rPr>
        <w:t>3</w:t>
      </w:r>
      <w:r>
        <w:rPr>
          <w:rFonts w:hint="eastAsia" w:hAnsi="仿宋_GB2312"/>
          <w:color w:val="auto"/>
          <w:kern w:val="2"/>
          <w:sz w:val="32"/>
          <w:szCs w:val="32"/>
        </w:rPr>
        <w:t>次有限空间现场应急处置方案演练，但事发启动预案时“立即切断事故现场电源，尽可能立即切断总电源，用现场干燥木棒等非导体移开电线或电器”等要求未落实；对外协单位</w:t>
      </w:r>
      <w:r>
        <w:rPr>
          <w:rFonts w:hint="eastAsia" w:hAnsi="仿宋_GB2312"/>
          <w:sz w:val="32"/>
          <w:szCs w:val="32"/>
        </w:rPr>
        <w:t>厦门靖华通公司清理积水临时用电作业</w:t>
      </w:r>
      <w:r>
        <w:rPr>
          <w:rFonts w:hint="eastAsia" w:hAnsi="仿宋_GB2312"/>
          <w:color w:val="auto"/>
          <w:kern w:val="2"/>
          <w:sz w:val="32"/>
          <w:szCs w:val="32"/>
        </w:rPr>
        <w:t xml:space="preserve">安全生产工作统一协调、管理不力，未有效督促该公司整改消除潜水泵等用电设备存在的事故隐患。          </w:t>
      </w:r>
    </w:p>
    <w:p>
      <w:pPr>
        <w:pStyle w:val="22"/>
        <w:spacing w:line="570" w:lineRule="exact"/>
        <w:ind w:firstLine="640" w:firstLineChars="200"/>
        <w:jc w:val="both"/>
        <w:rPr>
          <w:rFonts w:hAnsi="仿宋_GB2312"/>
          <w:color w:val="auto"/>
          <w:sz w:val="32"/>
          <w:szCs w:val="32"/>
        </w:rPr>
      </w:pPr>
      <w:r>
        <w:rPr>
          <w:rFonts w:hint="eastAsia" w:hAnsi="仿宋_GB2312"/>
          <w:color w:val="auto"/>
          <w:sz w:val="32"/>
          <w:szCs w:val="32"/>
        </w:rPr>
        <w:t>厦门靖华通公司于2025年3月3日停工组织了《有限空间事故应急预案》等学习，内容涉及有限空间缺氧窒息、触电等风险辨识与管控，但对临时用电作业人员安全技术交底不到位，未为清理积水作业人员配齐绝缘手套等安全用电劳动防护用品；隐患排查治理工作机制不健全，未及时发现并消除清理积水用电设备存在的接地线缺失、潜水泵电源线破损及</w:t>
      </w:r>
      <w:r>
        <w:rPr>
          <w:rFonts w:hint="eastAsia" w:cs="Times New Roman"/>
          <w:color w:val="auto"/>
          <w:sz w:val="32"/>
          <w:szCs w:val="32"/>
        </w:rPr>
        <w:t>普通电工胶布防水密封失效</w:t>
      </w:r>
      <w:r>
        <w:rPr>
          <w:rFonts w:hint="eastAsia" w:hAnsi="仿宋_GB2312"/>
          <w:color w:val="auto"/>
          <w:sz w:val="32"/>
          <w:szCs w:val="32"/>
        </w:rPr>
        <w:t>等事故隐患，安全生产主体责任落实不到位。</w:t>
      </w:r>
    </w:p>
    <w:p>
      <w:pPr>
        <w:spacing w:line="570" w:lineRule="exact"/>
        <w:ind w:firstLine="640" w:firstLineChars="200"/>
        <w:outlineLvl w:val="1"/>
        <w:rPr>
          <w:rFonts w:ascii="楷体" w:hAnsi="楷体" w:eastAsia="楷体"/>
          <w:bCs/>
          <w:sz w:val="32"/>
          <w:szCs w:val="32"/>
        </w:rPr>
      </w:pPr>
      <w:bookmarkStart w:id="11" w:name="_Toc167542024"/>
      <w:bookmarkStart w:id="12" w:name="_Toc196489751"/>
      <w:r>
        <w:rPr>
          <w:rFonts w:hint="eastAsia" w:ascii="楷体_GB2312" w:hAnsi="楷体_GB2312" w:eastAsia="楷体_GB2312" w:cs="楷体_GB2312"/>
          <w:bCs/>
          <w:sz w:val="32"/>
          <w:szCs w:val="32"/>
        </w:rPr>
        <w:t>（三）事发油化船污液舱（左）施工情况</w:t>
      </w:r>
      <w:bookmarkEnd w:id="11"/>
      <w:bookmarkEnd w:id="12"/>
      <w:r>
        <w:rPr>
          <w:rFonts w:ascii="楷体" w:hAnsi="楷体" w:eastAsia="楷体"/>
          <w:bCs/>
          <w:sz w:val="32"/>
          <w:szCs w:val="32"/>
        </w:rPr>
        <w:t xml:space="preserve"> </w:t>
      </w:r>
    </w:p>
    <w:p>
      <w:pPr>
        <w:pStyle w:val="22"/>
        <w:spacing w:line="570" w:lineRule="exact"/>
        <w:ind w:firstLine="640" w:firstLineChars="200"/>
        <w:jc w:val="both"/>
        <w:rPr>
          <w:rFonts w:hAnsi="仿宋_GB2312"/>
          <w:color w:val="auto"/>
          <w:kern w:val="2"/>
          <w:sz w:val="32"/>
          <w:szCs w:val="32"/>
        </w:rPr>
      </w:pPr>
      <w:r>
        <w:rPr>
          <w:rFonts w:hint="eastAsia" w:hAnsi="仿宋_GB2312"/>
          <w:sz w:val="32"/>
          <w:szCs w:val="32"/>
        </w:rPr>
        <w:t>在建油化船编号为501A，停靠在厦船重工公司2号码头。</w:t>
      </w:r>
      <w:r>
        <w:rPr>
          <w:rFonts w:hint="eastAsia" w:hAnsi="仿宋_GB2312"/>
          <w:color w:val="auto"/>
          <w:kern w:val="2"/>
          <w:sz w:val="32"/>
          <w:szCs w:val="32"/>
        </w:rPr>
        <w:t>事故舱室为污液舱（左）底舱，该舱舱壁形状不规则，从船首向尾部测量上口长约3.2～4.1米、宽约13.1～14米；底部长约2.4米、宽约1.6～2.3米，容积约585立方米，呈上宽下窄漏斗状。舱内搭建有6层脚手架作业平台，首层距甲板高度约1.6米，底层距舱底高度约3.1米。该舱舱底大面积积水，事发时最大水深约0.16米，仅楼梯处约0.5平方米潮湿地带无积水。该舱顶部开有2个直径约1米的圆形出口，分别为人员主出入口和工艺管弄口，事发时人员出入口布有220伏电源延长线、36伏照明线路各1条，分别从主配电箱两侧分配电箱内引出；工艺管弄口布有直径为0.3米的通风管1条。事故救援结束约2.5小时后，在通风设备停用状态下测量污液舱（左）舱底氧气含量为19.2%。</w:t>
      </w:r>
    </w:p>
    <w:p>
      <w:pPr>
        <w:pStyle w:val="22"/>
        <w:spacing w:line="570" w:lineRule="exact"/>
        <w:ind w:firstLine="640" w:firstLineChars="200"/>
        <w:jc w:val="both"/>
        <w:rPr>
          <w:rFonts w:hAnsi="仿宋_GB2312"/>
          <w:color w:val="auto"/>
          <w:kern w:val="2"/>
          <w:sz w:val="32"/>
          <w:szCs w:val="32"/>
        </w:rPr>
      </w:pPr>
      <w:r>
        <w:rPr>
          <w:rFonts w:hAnsi="仿宋_GB2312"/>
          <w:color w:val="auto"/>
          <w:kern w:val="2"/>
          <w:sz w:val="32"/>
          <w:szCs w:val="32"/>
        </w:rPr>
        <w:drawing>
          <wp:anchor distT="0" distB="0" distL="114300" distR="114300" simplePos="0" relativeHeight="251665408" behindDoc="1" locked="0" layoutInCell="1" allowOverlap="1">
            <wp:simplePos x="0" y="0"/>
            <wp:positionH relativeFrom="column">
              <wp:posOffset>287020</wp:posOffset>
            </wp:positionH>
            <wp:positionV relativeFrom="paragraph">
              <wp:posOffset>71120</wp:posOffset>
            </wp:positionV>
            <wp:extent cx="5032375" cy="3204210"/>
            <wp:effectExtent l="19050" t="0" r="0" b="0"/>
            <wp:wrapTight wrapText="bothSides">
              <wp:wrapPolygon>
                <wp:start x="-82" y="0"/>
                <wp:lineTo x="-82" y="19263"/>
                <wp:lineTo x="4579" y="20547"/>
                <wp:lineTo x="7032" y="20547"/>
                <wp:lineTo x="7032" y="21061"/>
                <wp:lineTo x="15781" y="21061"/>
                <wp:lineTo x="15781" y="20547"/>
                <wp:lineTo x="17825" y="20547"/>
                <wp:lineTo x="21586" y="19263"/>
                <wp:lineTo x="21586" y="0"/>
                <wp:lineTo x="-82" y="0"/>
              </wp:wrapPolygon>
            </wp:wrapTight>
            <wp:docPr id="4" name="图片 4" descr="C:\Users\Administrator\Desktop\3.11事故调查\图表\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3.11事故调查\图表\图片2.png"/>
                    <pic:cNvPicPr>
                      <a:picLocks noChangeAspect="1" noChangeArrowheads="1"/>
                    </pic:cNvPicPr>
                  </pic:nvPicPr>
                  <pic:blipFill>
                    <a:blip r:embed="rId6" cstate="print"/>
                    <a:srcRect/>
                    <a:stretch>
                      <a:fillRect/>
                    </a:stretch>
                  </pic:blipFill>
                  <pic:spPr>
                    <a:xfrm>
                      <a:off x="0" y="0"/>
                      <a:ext cx="5032375" cy="3204210"/>
                    </a:xfrm>
                    <a:prstGeom prst="rect">
                      <a:avLst/>
                    </a:prstGeom>
                    <a:noFill/>
                    <a:ln w="9525">
                      <a:noFill/>
                      <a:miter lim="800000"/>
                      <a:headEnd/>
                      <a:tailEnd/>
                    </a:ln>
                  </pic:spPr>
                </pic:pic>
              </a:graphicData>
            </a:graphic>
          </wp:anchor>
        </w:drawing>
      </w:r>
    </w:p>
    <w:p>
      <w:pPr>
        <w:pStyle w:val="22"/>
        <w:spacing w:line="570" w:lineRule="exact"/>
        <w:ind w:firstLine="640" w:firstLineChars="200"/>
        <w:jc w:val="both"/>
        <w:rPr>
          <w:rFonts w:hAnsi="仿宋_GB2312"/>
          <w:b/>
          <w:color w:val="auto"/>
          <w:kern w:val="2"/>
          <w:sz w:val="32"/>
          <w:szCs w:val="32"/>
        </w:rPr>
      </w:pPr>
      <w:r>
        <w:rPr>
          <w:rFonts w:hint="eastAsia" w:hAnsi="仿宋_GB2312"/>
          <w:color w:val="auto"/>
          <w:kern w:val="2"/>
          <w:sz w:val="32"/>
          <w:szCs w:val="32"/>
        </w:rPr>
        <w:t>经查阅该舱设计图纸和现场勘验，该污液舱（左）为独立舱室，分别与污液舱（右）、底管弄和6号压载舱相邻，事发时仅6号压载舱有一工艺孔与其相通且已用钢板封堵，排除其他舱室有毒有害气体泄漏导致事故可能。事发当日，该舱主要作业事项为舱内加热盘管对管作业及压载舱工艺孔焊缝打磨，拟进行舱内焊缝密性检查作业，未组织二氧化碳、氩气等保护焊作业。</w:t>
      </w:r>
    </w:p>
    <w:p>
      <w:pPr>
        <w:spacing w:line="570" w:lineRule="exact"/>
        <w:ind w:firstLine="640" w:firstLineChars="200"/>
        <w:outlineLvl w:val="1"/>
        <w:rPr>
          <w:rFonts w:ascii="楷体" w:hAnsi="楷体" w:eastAsia="楷体"/>
          <w:bCs/>
          <w:sz w:val="32"/>
          <w:szCs w:val="32"/>
        </w:rPr>
      </w:pPr>
      <w:bookmarkStart w:id="13" w:name="_Toc196489752"/>
      <w:bookmarkStart w:id="14" w:name="_Toc482476983"/>
      <w:r>
        <w:rPr>
          <w:rFonts w:hint="eastAsia" w:ascii="楷体_GB2312" w:hAnsi="楷体_GB2312" w:eastAsia="楷体_GB2312" w:cs="楷体_GB2312"/>
          <w:bCs/>
          <w:sz w:val="32"/>
          <w:szCs w:val="32"/>
        </w:rPr>
        <w:t>（四）事故发生经过</w:t>
      </w:r>
      <w:bookmarkEnd w:id="13"/>
      <w:bookmarkEnd w:id="14"/>
      <w:r>
        <w:rPr>
          <w:rFonts w:ascii="楷体" w:hAnsi="楷体" w:eastAsia="楷体"/>
          <w:bCs/>
          <w:sz w:val="32"/>
          <w:szCs w:val="32"/>
        </w:rPr>
        <w:t xml:space="preserve">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2025年3月11日上午，在建501A油化船左、右两侧污液舱底积水影响焊缝密性检查作业，厦船重工公司涂装部调度员郑某遂通知厦门靖华通公司班组长杨某刚清理积水。</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时30分许，厦门靖华通公司班组长杨某刚到码头涂装部办公室找到郑某办理污液舱有限空间作业票，票上所填氧气含量等数值均为估值，实际未到场检测；厦门靖华通公司员工祁某福、王某芬根据班组长杨某刚安排，携带小型潜水电泵、电源延长线插排上船前往污液舱。14时20分许，祁某福、王某芬抽完污液舱（右）积水后携带同套抽水设备到达污液舱（左），厦门松江富胜船舶工程有限公司（以下简称厦门松江富胜公司）员工龙某江帮忙将电源从甲板配电箱引入舱底，祁某福穿雨鞋、戴</w:t>
      </w:r>
      <w:r>
        <w:rPr>
          <w:rFonts w:hint="eastAsia" w:ascii="仿宋_GB2312" w:hAnsi="仿宋_GB2312" w:eastAsia="仿宋_GB2312" w:cs="仿宋_GB2312"/>
          <w:sz w:val="32"/>
          <w:szCs w:val="32"/>
        </w:rPr>
        <w:drawing>
          <wp:anchor distT="0" distB="0" distL="114300" distR="114300" simplePos="0" relativeHeight="251664384" behindDoc="1" locked="0" layoutInCell="1" allowOverlap="1">
            <wp:simplePos x="0" y="0"/>
            <wp:positionH relativeFrom="column">
              <wp:posOffset>1482090</wp:posOffset>
            </wp:positionH>
            <wp:positionV relativeFrom="paragraph">
              <wp:posOffset>2288540</wp:posOffset>
            </wp:positionV>
            <wp:extent cx="4146550" cy="3783965"/>
            <wp:effectExtent l="19050" t="0" r="6350" b="0"/>
            <wp:wrapSquare wrapText="bothSides"/>
            <wp:docPr id="1" name="对象 3"/>
            <wp:cNvGraphicFramePr/>
            <a:graphic xmlns:a="http://schemas.openxmlformats.org/drawingml/2006/main">
              <a:graphicData uri="http://schemas.openxmlformats.org/drawingml/2006/lockedCanvas">
                <lc:lockedCanvas xmlns:lc="http://schemas.openxmlformats.org/drawingml/2006/lockedCanvas">
                  <a:nvGrpSpPr>
                    <a:cNvPr id="1" name="组合 0"/>
                    <a:cNvGrpSpPr/>
                  </a:nvGrpSpPr>
                  <a:grpSpPr>
                    <a:xfrm>
                      <a:off x="0" y="0"/>
                      <a:ext cx="4236351" cy="3888432"/>
                      <a:chOff x="3419872" y="476672"/>
                      <a:chExt cx="4236351" cy="3888432"/>
                    </a:xfrm>
                  </a:grpSpPr>
                  <a:grpSp>
                    <a:nvGrpSpPr>
                      <a:cNvPr id="6" name="组合 5"/>
                      <a:cNvGrpSpPr/>
                    </a:nvGrpSpPr>
                    <a:grpSpPr>
                      <a:xfrm>
                        <a:off x="3419872" y="476672"/>
                        <a:ext cx="4236351" cy="3888432"/>
                        <a:chOff x="3419872" y="476672"/>
                        <a:chExt cx="4236351" cy="3888432"/>
                      </a:xfrm>
                    </a:grpSpPr>
                    <a:pic>
                      <a:nvPicPr>
                        <a:cNvPr id="4" name="图片 3" descr="af3a78302980b1478e568ebb3a717b7"/>
                        <a:cNvPicPr/>
                      </a:nvPicPr>
                      <a:blipFill>
                        <a:blip r:embed="rId7"/>
                        <a:srcRect t="5072" b="3523"/>
                        <a:stretch>
                          <a:fillRect/>
                        </a:stretch>
                      </a:blipFill>
                      <a:spPr bwMode="auto">
                        <a:xfrm>
                          <a:off x="3419872" y="476672"/>
                          <a:ext cx="4236351" cy="3514298"/>
                        </a:xfrm>
                        <a:prstGeom prst="rect">
                          <a:avLst/>
                        </a:prstGeom>
                        <a:noFill/>
                        <a:ln w="9525" cmpd="sng">
                          <a:noFill/>
                          <a:miter lim="800000"/>
                          <a:headEnd/>
                          <a:tailEnd/>
                        </a:ln>
                      </a:spPr>
                    </a:pic>
                    <a:sp>
                      <a:nvSpPr>
                        <a:cNvPr id="1027" name="Text Box 3"/>
                        <a:cNvSpPr txBox="1">
                          <a:spLocks noChangeArrowheads="1"/>
                        </a:cNvSpPr>
                      </a:nvSpPr>
                      <a:spPr bwMode="auto">
                        <a:xfrm>
                          <a:off x="4644008" y="4077072"/>
                          <a:ext cx="1943100" cy="288032"/>
                        </a:xfrm>
                        <a:prstGeom prst="rect">
                          <a:avLst/>
                        </a:prstGeom>
                        <a:noFill/>
                        <a:ln w="9525">
                          <a:noFill/>
                          <a:miter lim="800000"/>
                        </a:ln>
                      </a:spPr>
                      <a:txSp>
                        <a:txBody>
                          <a:bodyPr vert="horz" wrap="square" lIns="91440" tIns="45720" rIns="91440" bIns="45720" numCol="1" anchor="t" anchorCtr="0" compatLnSpc="1"/>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pPr>
                            <a:r>
                              <a:rPr kumimoji="0" lang="zh-CN" altLang="en-US" sz="1400" b="0" i="0" u="none" strike="noStrike" cap="none" normalizeH="0" baseline="0" dirty="0" smtClean="0">
                                <a:ln>
                                  <a:noFill/>
                                </a:ln>
                                <a:solidFill>
                                  <a:schemeClr val="tx1"/>
                                </a:solidFill>
                                <a:effectLst/>
                                <a:latin typeface="Calibri" panose="020F0502020204030204" pitchFamily="2" charset="0"/>
                                <a:ea typeface="宋体" charset="-122"/>
                                <a:cs typeface="宋体" charset="-122"/>
                              </a:rPr>
                              <a:t>图</a:t>
                            </a:r>
                            <a:r>
                              <a:rPr kumimoji="0" lang="en-US" altLang="zh-CN" sz="1400" b="0" i="0" u="none" strike="noStrike" cap="none" normalizeH="0" baseline="0" dirty="0" smtClean="0">
                                <a:ln>
                                  <a:noFill/>
                                </a:ln>
                                <a:solidFill>
                                  <a:schemeClr val="tx1"/>
                                </a:solidFill>
                                <a:effectLst/>
                                <a:latin typeface="Calibri" panose="020F0502020204030204" pitchFamily="2" charset="0"/>
                                <a:ea typeface="宋体" charset="-122"/>
                                <a:cs typeface="宋体" charset="-122"/>
                              </a:rPr>
                              <a:t>2</a:t>
                            </a:r>
                            <a:r>
                              <a:rPr kumimoji="0" lang="zh-CN" altLang="en-US" sz="1400" b="0" i="0" u="none" strike="noStrike" cap="none" normalizeH="0" baseline="0" dirty="0" smtClean="0">
                                <a:ln>
                                  <a:noFill/>
                                </a:ln>
                                <a:solidFill>
                                  <a:schemeClr val="tx1"/>
                                </a:solidFill>
                                <a:effectLst/>
                                <a:latin typeface="Calibri" panose="020F0502020204030204" pitchFamily="2" charset="0"/>
                                <a:ea typeface="宋体" charset="-122"/>
                                <a:cs typeface="宋体" charset="-122"/>
                              </a:rPr>
                              <a:t>：事故位置示意图</a:t>
                            </a:r>
                            <a:endParaRPr kumimoji="0" lang="zh-CN" sz="1800" b="0" i="0" u="none" strike="noStrike" cap="none" normalizeH="0" baseline="0" dirty="0" smtClean="0">
                              <a:ln>
                                <a:noFill/>
                              </a:ln>
                              <a:solidFill>
                                <a:schemeClr val="tx1"/>
                              </a:solidFill>
                              <a:effectLst/>
                              <a:latin typeface="Arial" panose="020B0604020202020204" pitchFamily="34" charset="0"/>
                              <a:ea typeface="宋体" charset="-122"/>
                              <a:cs typeface="宋体" charset="-122"/>
                            </a:endParaRPr>
                          </a:p>
                        </a:txBody>
                        <a:useSpRect/>
                      </a:txSp>
                    </a:sp>
                  </a:grpSp>
                </lc:lockedCanvas>
              </a:graphicData>
            </a:graphic>
          </wp:anchor>
        </w:drawing>
      </w:r>
      <w:r>
        <w:rPr>
          <w:rFonts w:hint="eastAsia" w:ascii="仿宋_GB2312" w:hAnsi="仿宋_GB2312" w:eastAsia="仿宋_GB2312" w:cs="仿宋_GB2312"/>
          <w:sz w:val="32"/>
          <w:szCs w:val="32"/>
        </w:rPr>
        <w:t>半面胶手套在舱底连接潜水电泵出水管，同时在舱底附近作业的还有气动打磨工马某如。14时50分许开始抽水，祁某福连续用铁桶舀水给露出水面的泵体降温，在浇大约3桶水过后祁某福动作变缓，单手扶泵体身体发抖随后倒在水中。站在楼梯上的王某芬</w:t>
      </w:r>
      <w:r>
        <w:rPr>
          <w:rFonts w:hint="eastAsia" w:ascii="仿宋_GB2312" w:hAnsi="仿宋_GB2312" w:eastAsia="仿宋_GB2312" w:cs="仿宋_GB2312"/>
          <w:sz w:val="32"/>
          <w:szCs w:val="32"/>
          <w:lang w:eastAsia="zh-CN"/>
        </w:rPr>
        <w:t>察觉</w:t>
      </w:r>
      <w:bookmarkStart w:id="64" w:name="_GoBack"/>
      <w:bookmarkEnd w:id="64"/>
      <w:r>
        <w:rPr>
          <w:rFonts w:hint="eastAsia" w:ascii="仿宋_GB2312" w:hAnsi="仿宋_GB2312" w:eastAsia="仿宋_GB2312" w:cs="仿宋_GB2312"/>
          <w:sz w:val="32"/>
          <w:szCs w:val="32"/>
        </w:rPr>
        <w:t>后，赶紧下到舱底将祁某福拖离积水靠在楼梯上让龙某江照看，自己上到甲板电话告知班组长杨某刚：“祁某福晕倒，赶快过来”。王某芬打完电话返回舱底，看到龙某江也倒在水中，之后再次出舱寻求援助。</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时03分许，厦船重工公司搭载部主管陈某赐在甲板上看到大声喊叫的王某芬，听明是有两名工人在舱底晕倒判断可能触电，陈某赐安排王某芬去配电箱拔电源插头，自己打电话给涂装部调度员郑某通报情况。15时04分许，厦船重工公司建造师周某路过时遇到陈某赐，二人商量后和赶来的厦门松江富胜公司员工晏某一同进到舱内。周某下到水中看到龙某江侧躺在水中就用手去抓其后衣领，摇晃几次后也倒在龙某江身上。陈某赐施救周某脚碰到水时握扶梯的手触电发麻。晏某发现周某倒在水中赶紧出舱去关电气柜，中途遇到下舱的同事罗某能。15时09分许，马某如因压缩空气管停气摘下风帽，看到罗某能从身边下到舱底摇晃水中的龙某江，不久后也倒在水中。马某如大声呼喊：“断电”，随后协助陈某赐用锂电角磨机将潜水电泵电源线和插排电源延长线全部切断。</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时12分许，外协单位员工黄某甲、李某金、班组长杨某刚和厦船重工公司安全员郭某辉先后赶到现场。黄某甲下到舱底确认有人受伤后返回甲板将配电箱电源总闸关掉；李某金下到舱底将祁某福靠在脚边，大约2分钟后班组长杨某刚和郭某辉下来将祁某福转移到底层平台。</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时20许，厦船重工公司安环部主管杜某明、林某辉及公司领导相继赶到现场，接手事故现场救援工作。黄某甲再次返回舱底将祁某福背上甲板，林某辉组织人员向舱内增设了一条压缩空气管加强通风，安排人员将舱底另外3名伤员背出舱，在甲板上由杜某明指挥对伤员持续开展心肺复苏，等待救护车到位。</w:t>
      </w:r>
    </w:p>
    <w:p>
      <w:pPr>
        <w:pStyle w:val="4"/>
        <w:spacing w:before="0" w:after="0" w:line="570" w:lineRule="exact"/>
        <w:ind w:firstLine="640" w:firstLineChars="200"/>
        <w:rPr>
          <w:rFonts w:hint="eastAsia" w:ascii="楷体_GB2312" w:hAnsi="楷体_GB2312" w:eastAsia="楷体_GB2312" w:cs="楷体_GB2312"/>
          <w:b w:val="0"/>
        </w:rPr>
      </w:pPr>
      <w:bookmarkStart w:id="15" w:name="_Toc150900719"/>
      <w:r>
        <w:rPr>
          <w:rFonts w:hint="eastAsia" w:ascii="楷体_GB2312" w:hAnsi="楷体_GB2312" w:eastAsia="楷体_GB2312" w:cs="楷体_GB2312"/>
          <w:b w:val="0"/>
        </w:rPr>
        <w:t>（五）人员伤亡和直接经济损失情况</w:t>
      </w:r>
      <w:bookmarkEnd w:id="15"/>
    </w:p>
    <w:p>
      <w:pPr>
        <w:spacing w:line="570" w:lineRule="exact"/>
        <w:ind w:firstLine="640" w:firstLineChars="200"/>
        <w:rPr>
          <w:rFonts w:ascii="仿宋_GB2312" w:hAnsi="黑体" w:eastAsia="仿宋_GB2312"/>
          <w:sz w:val="32"/>
          <w:szCs w:val="32"/>
        </w:rPr>
      </w:pPr>
      <w:r>
        <w:rPr>
          <w:rFonts w:hint="eastAsia" w:ascii="仿宋_GB2312" w:hAnsi="仿宋_GB2312" w:eastAsia="仿宋_GB2312" w:cs="仿宋_GB2312"/>
          <w:sz w:val="32"/>
          <w:szCs w:val="32"/>
        </w:rPr>
        <w:t>事故造成</w:t>
      </w:r>
      <w:r>
        <w:rPr>
          <w:rFonts w:hint="eastAsia" w:ascii="仿宋_GB2312" w:hAnsi="黑体" w:eastAsia="仿宋_GB2312"/>
          <w:sz w:val="32"/>
          <w:szCs w:val="32"/>
        </w:rPr>
        <w:t>祁某福（男，汉族，53岁，籍贯贵州铜仁</w:t>
      </w:r>
      <w:r>
        <w:rPr>
          <w:rFonts w:hint="eastAsia" w:ascii="仿宋_GB2312" w:hAnsi="仿宋_GB2312" w:eastAsia="仿宋_GB2312" w:cs="仿宋_GB2312"/>
          <w:sz w:val="32"/>
          <w:szCs w:val="32"/>
        </w:rPr>
        <w:t>）死亡，其他3名救援人员受伤，按照《企业职工伤亡事故经济损失统计标准》（GB/T6721）核定，直接经济损失约197.25万元。</w:t>
      </w:r>
    </w:p>
    <w:p>
      <w:pPr>
        <w:spacing w:line="570" w:lineRule="exact"/>
        <w:ind w:firstLine="640" w:firstLineChars="200"/>
        <w:outlineLvl w:val="0"/>
        <w:rPr>
          <w:rFonts w:ascii="黑体" w:hAnsi="黑体" w:eastAsia="黑体"/>
          <w:sz w:val="32"/>
          <w:szCs w:val="32"/>
        </w:rPr>
      </w:pPr>
      <w:bookmarkStart w:id="16" w:name="_Toc1895747065"/>
      <w:bookmarkStart w:id="17" w:name="_Toc196489757"/>
      <w:r>
        <w:rPr>
          <w:rFonts w:hint="eastAsia" w:ascii="黑体" w:hAnsi="黑体" w:eastAsia="黑体"/>
          <w:sz w:val="32"/>
          <w:szCs w:val="32"/>
        </w:rPr>
        <w:t>二、事故应急处置及评估情况</w:t>
      </w:r>
      <w:bookmarkEnd w:id="16"/>
      <w:bookmarkEnd w:id="17"/>
    </w:p>
    <w:p>
      <w:pPr>
        <w:pStyle w:val="4"/>
        <w:spacing w:before="0" w:after="0" w:line="570" w:lineRule="exact"/>
        <w:ind w:firstLine="640" w:firstLineChars="200"/>
        <w:rPr>
          <w:rFonts w:hint="eastAsia" w:ascii="楷体_GB2312" w:hAnsi="楷体_GB2312" w:eastAsia="楷体_GB2312" w:cs="楷体_GB2312"/>
          <w:b w:val="0"/>
        </w:rPr>
      </w:pPr>
      <w:bookmarkStart w:id="18" w:name="_Toc632722511"/>
      <w:r>
        <w:rPr>
          <w:rFonts w:hint="eastAsia" w:ascii="楷体_GB2312" w:hAnsi="楷体_GB2312" w:eastAsia="楷体_GB2312" w:cs="楷体_GB2312"/>
          <w:b w:val="0"/>
        </w:rPr>
        <w:t>（一）事故信息接报及响应情况</w:t>
      </w:r>
      <w:bookmarkEnd w:id="18"/>
    </w:p>
    <w:p>
      <w:pPr>
        <w:spacing w:line="57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14时59分许，王某芬电话向厦门靖华通</w:t>
      </w:r>
      <w:bookmarkStart w:id="19" w:name="OLE_LINK1"/>
      <w:r>
        <w:rPr>
          <w:rFonts w:hint="eastAsia" w:ascii="仿宋_GB2312" w:hAnsi="仿宋_GB2312" w:eastAsia="仿宋_GB2312" w:cs="仿宋_GB2312"/>
          <w:color w:val="000000"/>
          <w:kern w:val="0"/>
          <w:sz w:val="32"/>
          <w:szCs w:val="32"/>
        </w:rPr>
        <w:t>公司</w:t>
      </w:r>
      <w:bookmarkEnd w:id="19"/>
      <w:r>
        <w:rPr>
          <w:rFonts w:hint="eastAsia" w:ascii="仿宋_GB2312" w:hAnsi="仿宋_GB2312" w:eastAsia="仿宋_GB2312" w:cs="仿宋_GB2312"/>
          <w:color w:val="000000"/>
          <w:kern w:val="0"/>
          <w:sz w:val="32"/>
          <w:szCs w:val="32"/>
        </w:rPr>
        <w:t>班组长杨某刚报告祁某福晕倒在舱内。班组长杨某刚安排就近的李某金赶往事故现场，并向总经理杨某刚报告。</w:t>
      </w:r>
    </w:p>
    <w:p>
      <w:pPr>
        <w:spacing w:line="57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15时06分许，厦船重工公司涂装部调度员郑某接到搭载部陈某赐电话通报，立即电话报告涂装部部长谈某。</w:t>
      </w:r>
    </w:p>
    <w:p>
      <w:pPr>
        <w:spacing w:line="57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15时07分许，厦船重工公司涂装部部长谈某电话通报安环部安全员郭某晖。</w:t>
      </w:r>
    </w:p>
    <w:p>
      <w:pPr>
        <w:spacing w:line="57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15时12分许，</w:t>
      </w:r>
      <w:r>
        <w:rPr>
          <w:rFonts w:hint="eastAsia" w:ascii="仿宋_GB2312" w:hAnsi="仿宋_GB2312" w:eastAsia="仿宋_GB2312" w:cs="仿宋_GB2312"/>
          <w:sz w:val="32"/>
          <w:szCs w:val="32"/>
        </w:rPr>
        <w:t>厦门松江富胜公司员工晏某</w:t>
      </w:r>
      <w:r>
        <w:rPr>
          <w:rFonts w:hint="eastAsia" w:ascii="仿宋_GB2312" w:hAnsi="仿宋_GB2312" w:eastAsia="仿宋_GB2312" w:cs="仿宋_GB2312"/>
          <w:kern w:val="0"/>
          <w:sz w:val="32"/>
          <w:szCs w:val="32"/>
        </w:rPr>
        <w:t>拨打120求救。</w:t>
      </w:r>
    </w:p>
    <w:p>
      <w:pPr>
        <w:spacing w:line="57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15时20分许，</w:t>
      </w:r>
      <w:r>
        <w:rPr>
          <w:rFonts w:hint="eastAsia" w:ascii="仿宋_GB2312" w:hAnsi="仿宋_GB2312" w:eastAsia="仿宋_GB2312" w:cs="仿宋_GB2312"/>
          <w:color w:val="000000"/>
          <w:kern w:val="0"/>
          <w:sz w:val="32"/>
          <w:szCs w:val="32"/>
        </w:rPr>
        <w:t>厦船重工公司</w:t>
      </w:r>
      <w:r>
        <w:rPr>
          <w:rFonts w:hint="eastAsia" w:ascii="仿宋_GB2312" w:hAnsi="仿宋_GB2312" w:eastAsia="仿宋_GB2312" w:cs="仿宋_GB2312"/>
          <w:kern w:val="0"/>
          <w:sz w:val="32"/>
          <w:szCs w:val="32"/>
        </w:rPr>
        <w:t>安环部主管及公司领导等人接到事故报告后，赶到事故现场接管应急救援工作。</w:t>
      </w:r>
    </w:p>
    <w:p>
      <w:pPr>
        <w:spacing w:line="570" w:lineRule="exact"/>
        <w:ind w:firstLine="640" w:firstLineChars="200"/>
        <w:rPr>
          <w:rFonts w:ascii="仿宋_GB2312" w:hAnsi="仿宋_GB2312" w:eastAsia="仿宋_GB2312" w:cs="仿宋_GB2312"/>
          <w:kern w:val="0"/>
          <w:sz w:val="32"/>
          <w:szCs w:val="32"/>
        </w:rPr>
      </w:pPr>
      <w:bookmarkStart w:id="20" w:name="_Toc198109046"/>
      <w:r>
        <w:rPr>
          <w:rFonts w:hint="eastAsia" w:ascii="仿宋_GB2312" w:hAnsi="仿宋_GB2312" w:eastAsia="仿宋_GB2312" w:cs="仿宋_GB2312"/>
          <w:kern w:val="0"/>
          <w:sz w:val="32"/>
          <w:szCs w:val="32"/>
        </w:rPr>
        <w:t>15时22分许，海沧区总值班室接到公共安全管理办平台关于厦船重工公司触电警情，通知区应急局前往处置。</w:t>
      </w:r>
      <w:bookmarkEnd w:id="20"/>
    </w:p>
    <w:p>
      <w:pPr>
        <w:pStyle w:val="4"/>
        <w:spacing w:before="0" w:after="0" w:line="570" w:lineRule="exact"/>
        <w:ind w:firstLine="640" w:firstLineChars="200"/>
        <w:rPr>
          <w:rFonts w:ascii="楷体" w:hAnsi="楷体" w:eastAsia="楷体" w:cs="楷体_GB2312"/>
          <w:b w:val="0"/>
        </w:rPr>
      </w:pPr>
      <w:bookmarkStart w:id="21" w:name="_Toc1476140404"/>
      <w:r>
        <w:rPr>
          <w:rFonts w:hint="eastAsia" w:ascii="楷体_GB2312" w:hAnsi="楷体_GB2312" w:eastAsia="楷体_GB2312" w:cs="楷体_GB2312"/>
          <w:b w:val="0"/>
        </w:rPr>
        <w:t>（二）事故现场应急处置情况</w:t>
      </w:r>
      <w:bookmarkEnd w:id="21"/>
    </w:p>
    <w:p>
      <w:pPr>
        <w:spacing w:line="57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厦船重工公司及外协单位救援人员到场后，根据受伤人员生命体征情况依次安排出舱，在甲板上进行心肺复苏；同时由安保人员引导救护车入厂，15时26分救护车到码头后立即用吊篮将危重伤员祁某福吊下甲板，先行送往就近的厦门市海沧医院救治。15时50分许，另3名伤员全部由120救护车送医救治，现场救援工作结束。</w:t>
      </w:r>
    </w:p>
    <w:p>
      <w:pPr>
        <w:spacing w:line="570" w:lineRule="exact"/>
        <w:ind w:firstLine="640" w:firstLineChars="200"/>
        <w:rPr>
          <w:rFonts w:ascii="楷体" w:hAnsi="楷体" w:eastAsia="楷体" w:cs="仿宋_GB2312"/>
          <w:sz w:val="32"/>
          <w:szCs w:val="32"/>
        </w:rPr>
      </w:pPr>
      <w:r>
        <w:rPr>
          <w:rFonts w:hint="eastAsia" w:ascii="仿宋_GB2312" w:hAnsi="仿宋_GB2312" w:eastAsia="仿宋_GB2312" w:cs="仿宋_GB2312"/>
          <w:kern w:val="0"/>
          <w:sz w:val="32"/>
          <w:szCs w:val="32"/>
        </w:rPr>
        <w:t>事故接报后，市、区两级应急管理部门及相关行业主管部门、属地嵩屿街道人员也在第一时间赶到事故现场调查了解情况,组织排除事故现场险情，协调善后处理工作。</w:t>
      </w:r>
    </w:p>
    <w:p>
      <w:pPr>
        <w:pStyle w:val="4"/>
        <w:spacing w:before="0" w:after="0" w:line="570" w:lineRule="exact"/>
        <w:ind w:firstLine="640" w:firstLineChars="200"/>
        <w:rPr>
          <w:rFonts w:ascii="楷体" w:hAnsi="楷体" w:eastAsia="楷体" w:cs="楷体_GB2312"/>
          <w:b w:val="0"/>
        </w:rPr>
      </w:pPr>
      <w:bookmarkStart w:id="22" w:name="_Toc723616196"/>
      <w:r>
        <w:rPr>
          <w:rFonts w:hint="eastAsia" w:ascii="楷体_GB2312" w:hAnsi="楷体_GB2312" w:eastAsia="楷体_GB2312" w:cs="楷体_GB2312"/>
          <w:b w:val="0"/>
        </w:rPr>
        <w:t>（三）医疗救治和善后情况</w:t>
      </w:r>
      <w:bookmarkEnd w:id="22"/>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4名受伤人员送医后，祁某福于3月11日18时26分由医院宣告死亡；其他3名受伤人员分别于3月18日、19日办理出院，返回工作岗位。3月24日，</w:t>
      </w:r>
      <w:r>
        <w:rPr>
          <w:rFonts w:hint="eastAsia" w:ascii="仿宋_GB2312" w:hAnsi="仿宋_GB2312" w:eastAsia="仿宋_GB2312" w:cs="仿宋_GB2312"/>
          <w:kern w:val="0"/>
          <w:sz w:val="32"/>
          <w:szCs w:val="32"/>
        </w:rPr>
        <w:t>厦门靖华通公司与死者家属达成赔偿协议。</w:t>
      </w:r>
    </w:p>
    <w:p>
      <w:pPr>
        <w:pStyle w:val="4"/>
        <w:spacing w:before="0" w:after="0" w:line="570" w:lineRule="exact"/>
        <w:ind w:firstLine="640" w:firstLineChars="200"/>
        <w:rPr>
          <w:rFonts w:ascii="楷体" w:hAnsi="楷体" w:eastAsia="楷体" w:cs="仿宋_GB2312"/>
          <w:b w:val="0"/>
        </w:rPr>
      </w:pPr>
      <w:bookmarkStart w:id="23" w:name="_Toc986915300"/>
      <w:r>
        <w:rPr>
          <w:rFonts w:hint="eastAsia" w:ascii="楷体_GB2312" w:hAnsi="楷体_GB2312" w:eastAsia="楷体_GB2312" w:cs="楷体_GB2312"/>
          <w:b w:val="0"/>
        </w:rPr>
        <w:t>（四）事故应急处置评估</w:t>
      </w:r>
      <w:bookmarkEnd w:id="23"/>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事故调查组对事故应急处置复盘评估认为，</w:t>
      </w:r>
      <w:r>
        <w:rPr>
          <w:rFonts w:hint="eastAsia" w:ascii="仿宋_GB2312" w:hAnsi="仿宋_GB2312" w:eastAsia="仿宋_GB2312" w:cs="仿宋_GB2312"/>
          <w:kern w:val="0"/>
          <w:sz w:val="32"/>
          <w:szCs w:val="32"/>
        </w:rPr>
        <w:t>市、区两级应急管理部门接警后第一时间赶到现场进行应急处置；企业自救阶段厦船重工公司各业务部门和外协单位主管及员工能积极参与事故救援，伤员出舱后第一时间进行心肺复苏，救护车辆及吊具第一时间引导到位，除死者祁某福外其他3名受伤人员送医前已恢复自主呼吸，入院1周左右相继出院返岗。</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事故调查组认为，触电事故发生后，厦船重工公司业务部门组织现场施救时未及时切断主电源，且多人在没有采取有效防护措施的情况下盲目下舱施救导致事故扩大；现场人员未在第一时间拨打120急救电话。</w:t>
      </w:r>
    </w:p>
    <w:p>
      <w:pPr>
        <w:spacing w:line="570" w:lineRule="exact"/>
        <w:ind w:firstLine="640" w:firstLineChars="200"/>
        <w:outlineLvl w:val="0"/>
        <w:rPr>
          <w:rFonts w:ascii="黑体" w:hAnsi="黑体" w:eastAsia="黑体"/>
          <w:sz w:val="32"/>
          <w:szCs w:val="32"/>
        </w:rPr>
      </w:pPr>
      <w:bookmarkStart w:id="24" w:name="_Toc196489758"/>
      <w:bookmarkStart w:id="25" w:name="_Toc938866672"/>
      <w:r>
        <w:rPr>
          <w:rFonts w:hint="eastAsia" w:ascii="黑体" w:hAnsi="黑体" w:eastAsia="黑体"/>
          <w:sz w:val="32"/>
          <w:szCs w:val="32"/>
        </w:rPr>
        <w:t>三、事故原因分析</w:t>
      </w:r>
      <w:bookmarkEnd w:id="24"/>
      <w:bookmarkEnd w:id="25"/>
    </w:p>
    <w:p>
      <w:pPr>
        <w:pStyle w:val="22"/>
        <w:spacing w:line="570" w:lineRule="exact"/>
        <w:ind w:firstLine="640" w:firstLineChars="200"/>
        <w:jc w:val="both"/>
        <w:rPr>
          <w:rFonts w:hAnsi="仿宋_GB2312"/>
          <w:b/>
          <w:sz w:val="32"/>
          <w:szCs w:val="32"/>
        </w:rPr>
      </w:pPr>
      <w:r>
        <w:rPr>
          <w:rFonts w:hint="eastAsia" w:hAnsi="仿宋_GB2312"/>
          <w:color w:val="auto"/>
          <w:kern w:val="2"/>
          <w:sz w:val="32"/>
          <w:szCs w:val="32"/>
        </w:rPr>
        <w:t>事故调查组通过深入调查和综合分析，认定事故的直接原因是：</w:t>
      </w:r>
      <w:r>
        <w:rPr>
          <w:rFonts w:hint="eastAsia" w:hAnsi="仿宋_GB2312"/>
          <w:b/>
          <w:sz w:val="32"/>
          <w:szCs w:val="32"/>
        </w:rPr>
        <w:t>清理积水使用的潜水电泵存在接地线缺失、电源线破损及普通电工胶布防水密封失效等安全缺陷导致漏电；</w:t>
      </w:r>
      <w:r>
        <w:rPr>
          <w:rFonts w:hint="eastAsia" w:hAnsi="仿宋_GB2312"/>
          <w:b/>
          <w:color w:val="auto"/>
          <w:kern w:val="2"/>
          <w:sz w:val="32"/>
          <w:szCs w:val="32"/>
        </w:rPr>
        <w:t>临时用电作业人员和救援人员</w:t>
      </w:r>
      <w:r>
        <w:rPr>
          <w:rFonts w:hint="eastAsia" w:hAnsi="仿宋_GB2312"/>
          <w:b/>
          <w:sz w:val="32"/>
          <w:szCs w:val="32"/>
        </w:rPr>
        <w:t>未正确佩戴和使用绝缘手套、绝缘靴等劳动防护用品；</w:t>
      </w:r>
      <w:r>
        <w:rPr>
          <w:rFonts w:hint="eastAsia" w:hAnsi="仿宋_GB2312"/>
          <w:b/>
          <w:color w:val="auto"/>
          <w:kern w:val="2"/>
          <w:sz w:val="32"/>
          <w:szCs w:val="32"/>
        </w:rPr>
        <w:t>水中潮湿环境下临时用电作业，未选用高灵敏度、瞬动型漏电保护器。</w:t>
      </w:r>
      <w:r>
        <w:rPr>
          <w:rFonts w:hint="eastAsia" w:hAnsi="仿宋_GB2312"/>
          <w:b/>
          <w:sz w:val="32"/>
          <w:szCs w:val="32"/>
        </w:rPr>
        <w:t>事故</w:t>
      </w:r>
      <w:r>
        <w:rPr>
          <w:rFonts w:hint="eastAsia" w:hAnsi="仿宋_GB2312"/>
          <w:b/>
          <w:color w:val="auto"/>
          <w:kern w:val="2"/>
          <w:sz w:val="32"/>
          <w:szCs w:val="32"/>
        </w:rPr>
        <w:t>前期切断主电源不及时，</w:t>
      </w:r>
      <w:r>
        <w:rPr>
          <w:rFonts w:hint="eastAsia" w:hAnsi="仿宋_GB2312"/>
          <w:b/>
          <w:sz w:val="32"/>
          <w:szCs w:val="32"/>
        </w:rPr>
        <w:t>造成施救人员触电的加重后果。</w:t>
      </w:r>
    </w:p>
    <w:p>
      <w:pPr>
        <w:pStyle w:val="4"/>
        <w:spacing w:before="0" w:after="0" w:line="570" w:lineRule="exact"/>
        <w:ind w:firstLine="640" w:firstLineChars="200"/>
        <w:rPr>
          <w:rFonts w:ascii="楷体" w:hAnsi="楷体" w:eastAsia="楷体" w:cs="楷体_GB2312"/>
          <w:b w:val="0"/>
        </w:rPr>
      </w:pPr>
      <w:bookmarkStart w:id="26" w:name="_Toc1099365455"/>
      <w:r>
        <w:rPr>
          <w:rFonts w:hint="eastAsia" w:ascii="楷体_GB2312" w:hAnsi="楷体_GB2312" w:eastAsia="楷体_GB2312" w:cs="楷体_GB2312"/>
          <w:b w:val="0"/>
        </w:rPr>
        <w:t>（一）事故直接原因分析</w:t>
      </w:r>
      <w:bookmarkEnd w:id="26"/>
    </w:p>
    <w:p>
      <w:pPr>
        <w:pStyle w:val="22"/>
        <w:spacing w:line="570" w:lineRule="exact"/>
        <w:ind w:firstLine="642" w:firstLineChars="200"/>
        <w:jc w:val="both"/>
        <w:rPr>
          <w:rFonts w:hAnsi="仿宋_GB2312"/>
          <w:sz w:val="32"/>
          <w:szCs w:val="32"/>
        </w:rPr>
      </w:pPr>
      <w:r>
        <w:rPr>
          <w:rFonts w:hint="eastAsia" w:hAnsi="仿宋_GB2312"/>
          <w:b/>
          <w:sz w:val="32"/>
          <w:szCs w:val="32"/>
        </w:rPr>
        <w:drawing>
          <wp:anchor distT="0" distB="0" distL="114300" distR="114300" simplePos="0" relativeHeight="251661312" behindDoc="0" locked="0" layoutInCell="1" allowOverlap="1">
            <wp:simplePos x="0" y="0"/>
            <wp:positionH relativeFrom="column">
              <wp:posOffset>114935</wp:posOffset>
            </wp:positionH>
            <wp:positionV relativeFrom="paragraph">
              <wp:posOffset>1593850</wp:posOffset>
            </wp:positionV>
            <wp:extent cx="2388870" cy="2280920"/>
            <wp:effectExtent l="19050" t="0" r="0" b="0"/>
            <wp:wrapSquare wrapText="bothSides"/>
            <wp:docPr id="6" name="图片 5" descr="C:\Users\Administrator\Desktop\3.11事故调查\图表\图片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Users\Administrator\Desktop\3.11事故调查\图表\图片3.png"/>
                    <pic:cNvPicPr>
                      <a:picLocks noChangeAspect="1" noChangeArrowheads="1"/>
                    </pic:cNvPicPr>
                  </pic:nvPicPr>
                  <pic:blipFill>
                    <a:blip r:embed="rId8" cstate="print"/>
                    <a:srcRect/>
                    <a:stretch>
                      <a:fillRect/>
                    </a:stretch>
                  </pic:blipFill>
                  <pic:spPr>
                    <a:xfrm>
                      <a:off x="0" y="0"/>
                      <a:ext cx="2388870" cy="2280920"/>
                    </a:xfrm>
                    <a:prstGeom prst="rect">
                      <a:avLst/>
                    </a:prstGeom>
                    <a:noFill/>
                    <a:ln w="9525">
                      <a:noFill/>
                      <a:miter lim="800000"/>
                      <a:headEnd/>
                      <a:tailEnd/>
                    </a:ln>
                  </pic:spPr>
                </pic:pic>
              </a:graphicData>
            </a:graphic>
          </wp:anchor>
        </w:drawing>
      </w:r>
      <w:r>
        <w:rPr>
          <w:rFonts w:hint="eastAsia" w:hAnsi="仿宋_GB2312"/>
          <w:b/>
          <w:sz w:val="32"/>
          <w:szCs w:val="32"/>
        </w:rPr>
        <w:t>清理积水使用的潜水电泵存在接地线缺失、电源线破损及普通电工胶布防水密封失效等安全缺陷导致漏电。</w:t>
      </w:r>
      <w:r>
        <w:rPr>
          <w:rFonts w:hint="eastAsia" w:hAnsi="仿宋_GB2312"/>
          <w:sz w:val="32"/>
          <w:szCs w:val="32"/>
        </w:rPr>
        <w:t>该潜水电泵及电源延长线接地线均缺失增加触电风险，电源线绝缘层破损处包扎的普通电工胶布在多次使用泡水后防水密封失效导致漏电。</w:t>
      </w:r>
    </w:p>
    <w:p>
      <w:pPr>
        <w:pStyle w:val="22"/>
        <w:spacing w:line="570" w:lineRule="exact"/>
        <w:ind w:firstLine="640" w:firstLineChars="200"/>
        <w:jc w:val="both"/>
        <w:rPr>
          <w:rFonts w:hAnsi="仿宋_GB2312"/>
          <w:sz w:val="32"/>
          <w:szCs w:val="32"/>
        </w:rPr>
      </w:pPr>
      <w:r>
        <w:rPr>
          <w:rFonts w:hint="eastAsia" w:hAnsi="仿宋_GB2312"/>
          <w:sz w:val="32"/>
          <w:szCs w:val="32"/>
        </w:rPr>
        <w:drawing>
          <wp:anchor distT="0" distB="0" distL="114300" distR="114300" simplePos="0" relativeHeight="251662336" behindDoc="1" locked="0" layoutInCell="1" allowOverlap="1">
            <wp:simplePos x="0" y="0"/>
            <wp:positionH relativeFrom="column">
              <wp:posOffset>240030</wp:posOffset>
            </wp:positionH>
            <wp:positionV relativeFrom="paragraph">
              <wp:posOffset>163830</wp:posOffset>
            </wp:positionV>
            <wp:extent cx="2406650" cy="2263140"/>
            <wp:effectExtent l="19050" t="0" r="0" b="0"/>
            <wp:wrapSquare wrapText="bothSides"/>
            <wp:docPr id="9" name="图片 6" descr="C:\Users\Administrator\Desktop\3.11事故调查\图表\图片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C:\Users\Administrator\Desktop\3.11事故调查\图表\图片4.png"/>
                    <pic:cNvPicPr>
                      <a:picLocks noChangeAspect="1" noChangeArrowheads="1"/>
                    </pic:cNvPicPr>
                  </pic:nvPicPr>
                  <pic:blipFill>
                    <a:blip r:embed="rId9" cstate="print"/>
                    <a:srcRect/>
                    <a:stretch>
                      <a:fillRect/>
                    </a:stretch>
                  </pic:blipFill>
                  <pic:spPr>
                    <a:xfrm>
                      <a:off x="0" y="0"/>
                      <a:ext cx="2406650" cy="2263140"/>
                    </a:xfrm>
                    <a:prstGeom prst="rect">
                      <a:avLst/>
                    </a:prstGeom>
                    <a:noFill/>
                    <a:ln w="9525">
                      <a:noFill/>
                      <a:miter lim="800000"/>
                      <a:headEnd/>
                      <a:tailEnd/>
                    </a:ln>
                  </pic:spPr>
                </pic:pic>
              </a:graphicData>
            </a:graphic>
          </wp:anchor>
        </w:drawing>
      </w:r>
    </w:p>
    <w:p>
      <w:pPr>
        <w:pStyle w:val="22"/>
        <w:spacing w:line="570" w:lineRule="exact"/>
        <w:ind w:firstLine="640" w:firstLineChars="200"/>
        <w:jc w:val="both"/>
        <w:rPr>
          <w:rFonts w:hAnsi="仿宋_GB2312"/>
          <w:sz w:val="32"/>
          <w:szCs w:val="32"/>
        </w:rPr>
      </w:pPr>
    </w:p>
    <w:p>
      <w:pPr>
        <w:pStyle w:val="22"/>
        <w:spacing w:line="570" w:lineRule="exact"/>
        <w:ind w:firstLine="642" w:firstLineChars="200"/>
        <w:jc w:val="both"/>
        <w:rPr>
          <w:rFonts w:hAnsi="仿宋_GB2312"/>
          <w:b/>
          <w:sz w:val="32"/>
          <w:szCs w:val="32"/>
        </w:rPr>
      </w:pPr>
      <w:r>
        <w:rPr>
          <w:rFonts w:hint="eastAsia" w:hAnsi="仿宋_GB2312"/>
          <w:b/>
          <w:sz w:val="32"/>
          <w:szCs w:val="32"/>
        </w:rPr>
        <w:t xml:space="preserve"> </w:t>
      </w:r>
    </w:p>
    <w:p>
      <w:pPr>
        <w:pStyle w:val="22"/>
        <w:spacing w:line="570" w:lineRule="exact"/>
        <w:ind w:firstLine="642" w:firstLineChars="200"/>
        <w:jc w:val="both"/>
        <w:rPr>
          <w:rFonts w:hAnsi="仿宋_GB2312"/>
          <w:b/>
          <w:color w:val="auto"/>
          <w:kern w:val="2"/>
          <w:sz w:val="32"/>
          <w:szCs w:val="32"/>
        </w:rPr>
      </w:pPr>
    </w:p>
    <w:p>
      <w:pPr>
        <w:pStyle w:val="22"/>
        <w:spacing w:line="570" w:lineRule="exact"/>
        <w:ind w:firstLine="642" w:firstLineChars="200"/>
        <w:jc w:val="both"/>
        <w:rPr>
          <w:rFonts w:hAnsi="仿宋_GB2312"/>
          <w:b/>
          <w:color w:val="auto"/>
          <w:kern w:val="2"/>
          <w:sz w:val="32"/>
          <w:szCs w:val="32"/>
        </w:rPr>
      </w:pPr>
    </w:p>
    <w:p>
      <w:pPr>
        <w:pStyle w:val="22"/>
        <w:spacing w:line="570" w:lineRule="exact"/>
        <w:ind w:firstLine="642" w:firstLineChars="200"/>
        <w:jc w:val="both"/>
        <w:rPr>
          <w:rFonts w:hAnsi="仿宋_GB2312"/>
          <w:b/>
          <w:color w:val="auto"/>
          <w:kern w:val="2"/>
          <w:sz w:val="32"/>
          <w:szCs w:val="32"/>
        </w:rPr>
      </w:pPr>
    </w:p>
    <w:p>
      <w:pPr>
        <w:pStyle w:val="22"/>
        <w:spacing w:line="570" w:lineRule="exact"/>
        <w:ind w:firstLine="642" w:firstLineChars="200"/>
        <w:jc w:val="both"/>
        <w:rPr>
          <w:rFonts w:hAnsi="仿宋_GB2312"/>
          <w:b/>
          <w:color w:val="auto"/>
          <w:kern w:val="2"/>
          <w:sz w:val="32"/>
          <w:szCs w:val="32"/>
        </w:rPr>
      </w:pPr>
    </w:p>
    <w:p>
      <w:pPr>
        <w:pStyle w:val="22"/>
        <w:spacing w:line="570" w:lineRule="exact"/>
        <w:ind w:firstLine="642" w:firstLineChars="200"/>
        <w:jc w:val="both"/>
        <w:rPr>
          <w:rFonts w:hAnsi="仿宋_GB2312"/>
          <w:b/>
          <w:color w:val="auto"/>
          <w:sz w:val="32"/>
          <w:szCs w:val="32"/>
        </w:rPr>
      </w:pPr>
      <w:r>
        <w:rPr>
          <w:rFonts w:hint="eastAsia" w:hAnsi="仿宋_GB2312"/>
          <w:b/>
          <w:color w:val="auto"/>
          <w:kern w:val="2"/>
          <w:sz w:val="32"/>
          <w:szCs w:val="32"/>
        </w:rPr>
        <w:t>临时用电作业人员和救援人员</w:t>
      </w:r>
      <w:r>
        <w:rPr>
          <w:rFonts w:hint="eastAsia" w:hAnsi="仿宋_GB2312"/>
          <w:b/>
          <w:sz w:val="32"/>
          <w:szCs w:val="32"/>
        </w:rPr>
        <w:t>未正确佩戴和使用绝缘手套、绝缘靴等劳动防护用品</w:t>
      </w:r>
      <w:r>
        <w:rPr>
          <w:rFonts w:hint="eastAsia" w:hAnsi="仿宋_GB2312"/>
          <w:b/>
          <w:color w:val="auto"/>
          <w:sz w:val="32"/>
          <w:szCs w:val="32"/>
        </w:rPr>
        <w:t>。</w:t>
      </w:r>
      <w:r>
        <w:rPr>
          <w:rFonts w:hint="eastAsia" w:hAnsi="仿宋_GB2312"/>
          <w:color w:val="auto"/>
          <w:sz w:val="32"/>
          <w:szCs w:val="32"/>
        </w:rPr>
        <w:t>祁某福浇水时未佩戴绝缘手套，潜水电泵漏电后其双手分别接触泵体和铁桶产生电位差触电；3名救援人员未穿戴雨靴下水，双脚泡在水中行走当两脚间距较大时产生电位差触电。</w:t>
      </w:r>
    </w:p>
    <w:p>
      <w:pPr>
        <w:pStyle w:val="22"/>
        <w:spacing w:line="570" w:lineRule="exact"/>
        <w:ind w:firstLine="642" w:firstLineChars="200"/>
        <w:jc w:val="both"/>
        <w:rPr>
          <w:rFonts w:hAnsi="仿宋_GB2312"/>
          <w:sz w:val="32"/>
          <w:szCs w:val="32"/>
        </w:rPr>
      </w:pPr>
      <w:r>
        <w:rPr>
          <w:rFonts w:hint="eastAsia" w:hAnsi="仿宋_GB2312"/>
          <w:b/>
          <w:color w:val="auto"/>
          <w:kern w:val="2"/>
          <w:sz w:val="32"/>
          <w:szCs w:val="32"/>
        </w:rPr>
        <w:t>水中临时用电作业未选用高灵敏度、瞬动型漏电保护器。</w:t>
      </w:r>
      <w:r>
        <w:rPr>
          <w:rFonts w:hint="eastAsia" w:hAnsi="仿宋_GB2312"/>
          <w:sz w:val="32"/>
          <w:szCs w:val="32"/>
        </w:rPr>
        <w:t>厦船重工公司清理积水作业电源从甲板配电箱引入，其安装的漏电保护器剩余动作电流值为30mA，事发时未动作失去保护作用；水中带电作业环境下，未按照《剩余电流动作保护装置安装和运行》（GB/T13955-2017）选用动作电流不超过10mA的高灵敏度、瞬动型漏电保护器。</w:t>
      </w:r>
    </w:p>
    <w:p>
      <w:pPr>
        <w:pStyle w:val="22"/>
        <w:spacing w:line="570" w:lineRule="exact"/>
        <w:ind w:firstLine="645"/>
        <w:jc w:val="both"/>
        <w:rPr>
          <w:rFonts w:hAnsi="仿宋_GB2312"/>
          <w:sz w:val="32"/>
          <w:szCs w:val="32"/>
        </w:rPr>
      </w:pPr>
      <w:r>
        <w:rPr>
          <w:rFonts w:hint="eastAsia" w:hAnsi="仿宋_GB2312"/>
          <w:b/>
          <w:sz w:val="32"/>
          <w:szCs w:val="32"/>
        </w:rPr>
        <w:drawing>
          <wp:anchor distT="0" distB="0" distL="114300" distR="114300" simplePos="0" relativeHeight="251663360" behindDoc="0" locked="0" layoutInCell="1" allowOverlap="1">
            <wp:simplePos x="0" y="0"/>
            <wp:positionH relativeFrom="column">
              <wp:posOffset>2982595</wp:posOffset>
            </wp:positionH>
            <wp:positionV relativeFrom="paragraph">
              <wp:posOffset>-941705</wp:posOffset>
            </wp:positionV>
            <wp:extent cx="2581275" cy="2305050"/>
            <wp:effectExtent l="19050" t="0" r="9525" b="0"/>
            <wp:wrapSquare wrapText="bothSides"/>
            <wp:docPr id="2" name="图片 0" descr="图片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descr="图片5.png"/>
                    <pic:cNvPicPr>
                      <a:picLocks noChangeAspect="1"/>
                    </pic:cNvPicPr>
                  </pic:nvPicPr>
                  <pic:blipFill>
                    <a:blip r:embed="rId10" cstate="print"/>
                    <a:stretch>
                      <a:fillRect/>
                    </a:stretch>
                  </pic:blipFill>
                  <pic:spPr>
                    <a:xfrm>
                      <a:off x="0" y="0"/>
                      <a:ext cx="2581275" cy="2305050"/>
                    </a:xfrm>
                    <a:prstGeom prst="rect">
                      <a:avLst/>
                    </a:prstGeom>
                  </pic:spPr>
                </pic:pic>
              </a:graphicData>
            </a:graphic>
          </wp:anchor>
        </w:drawing>
      </w:r>
      <w:r>
        <w:rPr>
          <w:rFonts w:hint="eastAsia" w:hAnsi="仿宋_GB2312"/>
          <w:b/>
          <w:sz w:val="32"/>
          <w:szCs w:val="32"/>
        </w:rPr>
        <w:t>事故</w:t>
      </w:r>
      <w:r>
        <w:rPr>
          <w:rFonts w:hint="eastAsia" w:hAnsi="仿宋_GB2312"/>
          <w:b/>
          <w:color w:val="auto"/>
          <w:kern w:val="2"/>
          <w:sz w:val="32"/>
          <w:szCs w:val="32"/>
        </w:rPr>
        <w:t>前期切断主电源不及时，</w:t>
      </w:r>
      <w:r>
        <w:rPr>
          <w:rFonts w:hint="eastAsia" w:hAnsi="仿宋_GB2312"/>
          <w:b/>
          <w:sz w:val="32"/>
          <w:szCs w:val="32"/>
        </w:rPr>
        <w:t>造成施救人员触电的加重后果。</w:t>
      </w:r>
      <w:r>
        <w:rPr>
          <w:rFonts w:hint="eastAsia" w:hAnsi="仿宋_GB2312"/>
          <w:sz w:val="32"/>
          <w:szCs w:val="32"/>
        </w:rPr>
        <w:t>厦船重工公司清理积水临时用电作业未安排专人监护，事故发生前期切断电源忙乱不彻底，导致多名救援人员触电。</w:t>
      </w:r>
    </w:p>
    <w:p>
      <w:pPr>
        <w:pStyle w:val="22"/>
        <w:spacing w:line="570" w:lineRule="exact"/>
        <w:ind w:firstLine="645"/>
        <w:jc w:val="both"/>
        <w:outlineLvl w:val="1"/>
        <w:rPr>
          <w:rFonts w:ascii="楷体" w:hAnsi="楷体" w:eastAsia="楷体" w:cs="楷体_GB2312"/>
          <w:b/>
          <w:sz w:val="32"/>
          <w:szCs w:val="32"/>
        </w:rPr>
      </w:pPr>
      <w:bookmarkStart w:id="27" w:name="_Toc1670097748"/>
      <w:r>
        <w:rPr>
          <w:rFonts w:hint="eastAsia" w:ascii="楷体_GB2312" w:hAnsi="楷体_GB2312" w:eastAsia="楷体_GB2312" w:cs="楷体_GB2312"/>
          <w:sz w:val="32"/>
          <w:szCs w:val="32"/>
        </w:rPr>
        <w:t>（二）事故相关检验检测、鉴定意见情况</w:t>
      </w:r>
      <w:bookmarkEnd w:id="27"/>
    </w:p>
    <w:p>
      <w:pPr>
        <w:snapToGrid w:val="0"/>
        <w:spacing w:line="570" w:lineRule="exact"/>
        <w:ind w:firstLine="64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2025年3月25日，</w:t>
      </w:r>
      <w:r>
        <w:rPr>
          <w:rFonts w:hint="eastAsia" w:ascii="仿宋_GB2312" w:hAnsi="仿宋_GB2312" w:eastAsia="仿宋_GB2312" w:cs="仿宋_GB2312"/>
          <w:kern w:val="0"/>
          <w:sz w:val="32"/>
          <w:szCs w:val="32"/>
        </w:rPr>
        <w:t>厦门市海沧医院向事故调查组提供了祁某福《居民死亡医学证明（推断）书》及</w:t>
      </w:r>
      <w:r>
        <w:rPr>
          <w:rFonts w:hint="eastAsia" w:ascii="仿宋_GB2312" w:hAnsi="仿宋_GB2312" w:eastAsia="仿宋_GB2312" w:cs="仿宋_GB2312"/>
          <w:sz w:val="32"/>
          <w:szCs w:val="32"/>
        </w:rPr>
        <w:t>龙某江、罗某能和周某3名伤者住院病历，祁某福死亡原因为“电死”，龙某江等3人出院诊断为“电击伤”。另病历显示龙某江入院时下巴及左手背近拇指见皮肤灼伤，符合其触电后侧躺水中体位导致的伤情。</w:t>
      </w:r>
    </w:p>
    <w:p>
      <w:pPr>
        <w:snapToGrid w:val="0"/>
        <w:spacing w:line="57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2025年4月18日，福建正泰司法鉴定中心向事故调查组提供死者祁某福《司法鉴定意见书》，分析认为</w:t>
      </w:r>
      <w:r>
        <w:rPr>
          <w:rFonts w:hint="eastAsia" w:ascii="仿宋_GB2312" w:hAnsi="仿宋_GB2312" w:eastAsia="仿宋_GB2312" w:cs="仿宋_GB2312"/>
          <w:kern w:val="0"/>
          <w:sz w:val="32"/>
          <w:szCs w:val="32"/>
        </w:rPr>
        <w:t>：“尸表检验未检</w:t>
      </w:r>
    </w:p>
    <w:p>
      <w:pPr>
        <w:snapToGrid w:val="0"/>
        <w:spacing w:line="57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见电流斑；事件发生后其马上出现人事不省，120人员到达现场时确认其呼吸、心跳停止，也即死亡急骤。根据尸表检验所见并结合事故调查组提供的案情、现场勘验情况以及死亡急骤，综合分析认为：被鉴定人祁某福倾向于电击死”。</w:t>
      </w:r>
    </w:p>
    <w:p>
      <w:pPr>
        <w:spacing w:line="570" w:lineRule="exact"/>
        <w:ind w:firstLine="640" w:firstLineChars="200"/>
        <w:outlineLvl w:val="0"/>
        <w:rPr>
          <w:rFonts w:ascii="黑体" w:hAnsi="黑体" w:eastAsia="黑体"/>
          <w:sz w:val="32"/>
          <w:szCs w:val="32"/>
        </w:rPr>
      </w:pPr>
      <w:bookmarkStart w:id="28" w:name="_Toc196489759"/>
      <w:bookmarkStart w:id="29" w:name="_Toc335824463"/>
      <w:r>
        <w:rPr>
          <w:rFonts w:hint="eastAsia" w:ascii="黑体" w:hAnsi="黑体" w:eastAsia="黑体"/>
          <w:sz w:val="32"/>
          <w:szCs w:val="32"/>
        </w:rPr>
        <w:t>四、有关责任单位存在的主要问</w:t>
      </w:r>
      <w:bookmarkEnd w:id="28"/>
      <w:r>
        <w:rPr>
          <w:rFonts w:hint="eastAsia" w:ascii="黑体" w:hAnsi="黑体" w:eastAsia="黑体"/>
          <w:sz w:val="32"/>
          <w:szCs w:val="32"/>
        </w:rPr>
        <w:t>题</w:t>
      </w:r>
      <w:bookmarkEnd w:id="29"/>
    </w:p>
    <w:p>
      <w:pPr>
        <w:pStyle w:val="22"/>
        <w:spacing w:line="570" w:lineRule="exact"/>
        <w:ind w:firstLine="640" w:firstLineChars="200"/>
        <w:outlineLvl w:val="1"/>
        <w:rPr>
          <w:rFonts w:ascii="楷体" w:hAnsi="楷体" w:eastAsia="楷体" w:cs="楷体_GB2312"/>
          <w:sz w:val="32"/>
          <w:szCs w:val="32"/>
        </w:rPr>
      </w:pPr>
      <w:bookmarkStart w:id="30" w:name="_Toc641689439"/>
      <w:r>
        <w:rPr>
          <w:rFonts w:hint="eastAsia" w:ascii="楷体_GB2312" w:hAnsi="楷体_GB2312" w:eastAsia="楷体_GB2312" w:cs="楷体_GB2312"/>
          <w:sz w:val="32"/>
          <w:szCs w:val="32"/>
        </w:rPr>
        <w:t>（一）事故单位</w:t>
      </w:r>
      <w:bookmarkEnd w:id="30"/>
    </w:p>
    <w:p>
      <w:pPr>
        <w:pStyle w:val="22"/>
        <w:spacing w:line="570" w:lineRule="exact"/>
        <w:ind w:firstLine="640" w:firstLineChars="200"/>
        <w:rPr>
          <w:rFonts w:hAnsi="仿宋_GB2312"/>
          <w:sz w:val="32"/>
          <w:szCs w:val="32"/>
        </w:rPr>
      </w:pPr>
      <w:r>
        <w:rPr>
          <w:rFonts w:hint="eastAsia" w:hAnsi="仿宋_GB2312"/>
          <w:color w:val="auto"/>
          <w:sz w:val="32"/>
          <w:szCs w:val="32"/>
        </w:rPr>
        <w:t>厦门靖华通公司生产安全事故隐患排查治理制度不健全，未能及时发现并消除潜水电泵存在的接地线缺失、电源线破损及普通电工胶布防水密封失效等事故隐患；未为清水作业人员配齐绝缘手套等劳动防护用品；对清水作业人员安全技术交底不到位，从业人员缺乏基本安全用电常识。总经理杨某刚对本单位安全生产投入不足；隐患排查治理工作机制不健全，督促、检查本单位安全生产工作不到位，未能及时发现并消除清理积水作业使用的潜水电泵等存在的生产安全事故隐患。</w:t>
      </w:r>
    </w:p>
    <w:p>
      <w:pPr>
        <w:pStyle w:val="22"/>
        <w:spacing w:line="570" w:lineRule="exact"/>
        <w:ind w:firstLine="640" w:firstLineChars="200"/>
        <w:rPr>
          <w:rFonts w:hAnsi="仿宋_GB2312"/>
          <w:sz w:val="32"/>
          <w:szCs w:val="32"/>
        </w:rPr>
      </w:pPr>
      <w:r>
        <w:rPr>
          <w:rFonts w:hint="eastAsia" w:hAnsi="仿宋_GB2312"/>
          <w:sz w:val="32"/>
          <w:szCs w:val="32"/>
        </w:rPr>
        <w:t>厦船重工公司未按照《中华人民共和国安全生产法》第四十三条及《船舶行业危险作业许可审批管理要求》（CB/T4498-2019）相关要求，将</w:t>
      </w:r>
      <w:r>
        <w:rPr>
          <w:rFonts w:hint="eastAsia" w:hAnsi="仿宋_GB2312"/>
          <w:color w:val="auto"/>
          <w:kern w:val="2"/>
          <w:sz w:val="32"/>
          <w:szCs w:val="32"/>
        </w:rPr>
        <w:t>临时用电未纳入危险作业进行分级管理；舱内水中临时用电危险作业，</w:t>
      </w:r>
      <w:r>
        <w:rPr>
          <w:rFonts w:hint="eastAsia" w:hAnsi="仿宋_GB2312"/>
          <w:sz w:val="32"/>
          <w:szCs w:val="32"/>
        </w:rPr>
        <w:t>未安排专门人员进行现场安全管理，临时用电安全措施缺失；对外协单位厦门靖华通公司清理积水作业过程中的安全生产协调、管理不力。董事长林某作为公司安全生产第一责任人，落实安全风险分级管控和隐患排查治理工作有缺漏，督促、检查本单位安全生产工作不严，未能及时消除在建油化船水中潮湿环境下临时用电作业生产安全事故隐患。</w:t>
      </w:r>
    </w:p>
    <w:p>
      <w:pPr>
        <w:pStyle w:val="22"/>
        <w:spacing w:line="570" w:lineRule="exact"/>
        <w:ind w:firstLine="645"/>
        <w:jc w:val="both"/>
        <w:outlineLvl w:val="1"/>
        <w:rPr>
          <w:rFonts w:hAnsi="仿宋_GB2312"/>
          <w:color w:val="auto"/>
          <w:sz w:val="32"/>
          <w:szCs w:val="32"/>
        </w:rPr>
      </w:pPr>
      <w:bookmarkStart w:id="31" w:name="_Toc1709703186"/>
      <w:r>
        <w:rPr>
          <w:rFonts w:hint="eastAsia" w:hAnsi="仿宋_GB2312"/>
          <w:color w:val="auto"/>
          <w:sz w:val="32"/>
          <w:szCs w:val="32"/>
        </w:rPr>
        <w:t>事故调查过程中，还暴露出厦门靖华通公司班组长杨某刚申请有限空间内清理积水作业未到现场进行气体检测、负责审批的厦船重工公司涂装部调度员郑某审批把关不严的问题。</w:t>
      </w:r>
      <w:bookmarkEnd w:id="31"/>
    </w:p>
    <w:p>
      <w:pPr>
        <w:pStyle w:val="22"/>
        <w:spacing w:line="570" w:lineRule="exact"/>
        <w:ind w:firstLine="645"/>
        <w:jc w:val="both"/>
        <w:outlineLvl w:val="1"/>
        <w:rPr>
          <w:rFonts w:ascii="楷体" w:hAnsi="楷体" w:eastAsia="楷体" w:cs="楷体_GB2312"/>
          <w:sz w:val="32"/>
          <w:szCs w:val="32"/>
        </w:rPr>
      </w:pPr>
      <w:bookmarkStart w:id="32" w:name="_Toc62444562"/>
      <w:r>
        <w:rPr>
          <w:rFonts w:hint="eastAsia" w:ascii="楷体_GB2312" w:hAnsi="楷体_GB2312" w:eastAsia="楷体_GB2312" w:cs="楷体_GB2312"/>
          <w:sz w:val="32"/>
          <w:szCs w:val="32"/>
        </w:rPr>
        <w:t>（二）行业主管部门</w:t>
      </w:r>
      <w:bookmarkEnd w:id="32"/>
    </w:p>
    <w:p>
      <w:pPr>
        <w:spacing w:line="570" w:lineRule="exact"/>
        <w:ind w:firstLine="640" w:firstLineChars="200"/>
      </w:pPr>
      <w:bookmarkStart w:id="33" w:name="_Toc198109055"/>
      <w:r>
        <w:rPr>
          <w:rFonts w:hint="eastAsia" w:ascii="仿宋_GB2312" w:hAnsi="仿宋_GB2312" w:eastAsia="仿宋_GB2312" w:cs="仿宋_GB2312"/>
          <w:sz w:val="32"/>
          <w:szCs w:val="32"/>
        </w:rPr>
        <w:t>区科技和工信商务局在开展民用船舶制造业企业安全生产指导服务过程中，综合利用</w:t>
      </w:r>
      <w:bookmarkEnd w:id="33"/>
      <w:r>
        <w:rPr>
          <w:rFonts w:hint="eastAsia" w:ascii="仿宋_GB2312" w:hAnsi="仿宋_GB2312" w:eastAsia="仿宋_GB2312" w:cs="仿宋_GB2312"/>
          <w:sz w:val="32"/>
          <w:szCs w:val="32"/>
        </w:rPr>
        <w:t>临时用电安全等相关法规标准手段化解厦船重工公司风险隐患不够，促进源头治理不力。</w:t>
      </w:r>
    </w:p>
    <w:p>
      <w:pPr>
        <w:spacing w:line="570" w:lineRule="exact"/>
        <w:ind w:firstLine="640" w:firstLineChars="200"/>
        <w:outlineLvl w:val="0"/>
        <w:rPr>
          <w:rFonts w:ascii="黑体" w:hAnsi="黑体" w:eastAsia="黑体"/>
          <w:sz w:val="32"/>
          <w:szCs w:val="32"/>
        </w:rPr>
      </w:pPr>
      <w:bookmarkStart w:id="34" w:name="_Toc1854734753"/>
      <w:r>
        <w:rPr>
          <w:rFonts w:hint="eastAsia" w:ascii="黑体" w:hAnsi="黑体" w:eastAsia="黑体"/>
          <w:sz w:val="32"/>
          <w:szCs w:val="32"/>
        </w:rPr>
        <w:t>五、对有关责任人员和责任单位的处理建议</w:t>
      </w:r>
      <w:bookmarkEnd w:id="34"/>
    </w:p>
    <w:p>
      <w:pPr>
        <w:pStyle w:val="22"/>
        <w:spacing w:line="570" w:lineRule="exact"/>
        <w:ind w:firstLine="645"/>
        <w:jc w:val="both"/>
        <w:outlineLvl w:val="1"/>
        <w:rPr>
          <w:rFonts w:ascii="楷体" w:hAnsi="楷体" w:eastAsia="楷体" w:cs="楷体_GB2312"/>
          <w:sz w:val="32"/>
          <w:szCs w:val="32"/>
        </w:rPr>
      </w:pPr>
      <w:bookmarkStart w:id="35" w:name="_Toc1923683268"/>
      <w:r>
        <w:rPr>
          <w:rFonts w:hint="eastAsia" w:ascii="楷体_GB2312" w:hAnsi="楷体_GB2312" w:eastAsia="楷体_GB2312" w:cs="楷体_GB2312"/>
          <w:sz w:val="32"/>
          <w:szCs w:val="32"/>
        </w:rPr>
        <w:t>（一）不予追究责任人员</w:t>
      </w:r>
      <w:bookmarkEnd w:id="35"/>
    </w:p>
    <w:p>
      <w:pPr>
        <w:pStyle w:val="22"/>
        <w:spacing w:line="570" w:lineRule="exact"/>
        <w:ind w:firstLine="640" w:firstLineChars="200"/>
        <w:jc w:val="both"/>
        <w:rPr>
          <w:rFonts w:hAnsi="仿宋_GB2312"/>
          <w:sz w:val="32"/>
          <w:szCs w:val="32"/>
        </w:rPr>
      </w:pPr>
      <w:r>
        <w:rPr>
          <w:rFonts w:hint="eastAsia" w:hAnsi="仿宋_GB2312"/>
          <w:sz w:val="32"/>
          <w:szCs w:val="32"/>
        </w:rPr>
        <w:t>祁某福（死者），男，厦门靖华通公司普工，水中潮湿环境下临时用电作业安全</w:t>
      </w:r>
      <w:r>
        <w:rPr>
          <w:rFonts w:hint="eastAsia" w:hAnsi="仿宋_GB2312"/>
          <w:sz w:val="31"/>
          <w:szCs w:val="31"/>
        </w:rPr>
        <w:t>意识淡薄，</w:t>
      </w:r>
      <w:r>
        <w:rPr>
          <w:rFonts w:hint="eastAsia" w:hAnsi="仿宋_GB2312"/>
          <w:sz w:val="32"/>
          <w:szCs w:val="32"/>
        </w:rPr>
        <w:t>未认真排查清理积水用电设备安全缺陷，</w:t>
      </w:r>
      <w:r>
        <w:rPr>
          <w:rFonts w:hint="eastAsia" w:hAnsi="仿宋_GB2312"/>
          <w:sz w:val="31"/>
          <w:szCs w:val="31"/>
        </w:rPr>
        <w:t>对本起事故发生负有责任。鉴于其已在本起事故中死亡，</w:t>
      </w:r>
      <w:r>
        <w:rPr>
          <w:rFonts w:hint="eastAsia" w:hAnsi="仿宋_GB2312"/>
          <w:sz w:val="32"/>
          <w:szCs w:val="32"/>
        </w:rPr>
        <w:t>建议不追究其相关责任。</w:t>
      </w:r>
    </w:p>
    <w:p>
      <w:pPr>
        <w:pStyle w:val="22"/>
        <w:spacing w:line="570" w:lineRule="exact"/>
        <w:ind w:firstLine="645"/>
        <w:jc w:val="both"/>
        <w:outlineLvl w:val="1"/>
        <w:rPr>
          <w:rFonts w:ascii="楷体" w:hAnsi="楷体" w:eastAsia="楷体"/>
          <w:sz w:val="32"/>
          <w:szCs w:val="32"/>
        </w:rPr>
      </w:pPr>
      <w:bookmarkStart w:id="36" w:name="_Toc1578167017"/>
      <w:r>
        <w:rPr>
          <w:rFonts w:hint="eastAsia" w:ascii="楷体_GB2312" w:hAnsi="楷体_GB2312" w:eastAsia="楷体_GB2312" w:cs="楷体_GB2312"/>
          <w:sz w:val="32"/>
          <w:szCs w:val="32"/>
        </w:rPr>
        <w:t>（二）有关责任人员和责任单位的行政处罚建议</w:t>
      </w:r>
      <w:bookmarkEnd w:id="36"/>
    </w:p>
    <w:p>
      <w:pPr>
        <w:spacing w:line="570" w:lineRule="exact"/>
        <w:ind w:firstLine="620" w:firstLineChars="200"/>
        <w:rPr>
          <w:rFonts w:ascii="仿宋_GB2312" w:hAnsi="宋体" w:eastAsia="仿宋_GB2312" w:cs="仿宋_GB2312"/>
          <w:color w:val="000000"/>
          <w:kern w:val="0"/>
          <w:sz w:val="31"/>
          <w:szCs w:val="31"/>
        </w:rPr>
      </w:pPr>
      <w:r>
        <w:rPr>
          <w:rFonts w:hint="eastAsia" w:ascii="仿宋_GB2312" w:hAnsi="宋体" w:eastAsia="仿宋_GB2312" w:cs="仿宋_GB2312"/>
          <w:color w:val="000000"/>
          <w:kern w:val="0"/>
          <w:sz w:val="31"/>
          <w:szCs w:val="31"/>
        </w:rPr>
        <w:t>1.杨某刚（总经理），男，其作为厦门靖华通公司主要负责人，未有效保证本单位安全生产投入有效实施；隐患排查治理工作机制不健全，督促、检查本单位安全生产工作不到位，未能及时消除事故隐患，违反《中华人民共和国安全生产法》第二十一条第四项、第五项，对事故发生负有责任，建议由区应急局依照《中华人民共和国安全生产法》第九十五条第一项依法处罚。</w:t>
      </w:r>
    </w:p>
    <w:p>
      <w:pPr>
        <w:pStyle w:val="22"/>
        <w:spacing w:line="570" w:lineRule="exact"/>
        <w:ind w:firstLine="640" w:firstLineChars="200"/>
        <w:jc w:val="both"/>
        <w:rPr>
          <w:rFonts w:hAnsi="宋体"/>
          <w:color w:val="auto"/>
          <w:sz w:val="31"/>
          <w:szCs w:val="31"/>
        </w:rPr>
      </w:pPr>
      <w:r>
        <w:rPr>
          <w:rFonts w:hint="eastAsia" w:hAnsi="仿宋_GB2312"/>
          <w:color w:val="auto"/>
          <w:sz w:val="32"/>
          <w:szCs w:val="32"/>
        </w:rPr>
        <w:t>2.林某，男，厦船重工公司董事长，其作为公司安全生产第一责任人，落实企业安全风险分级管控和隐患排查治理工作机制有缺漏，督促、检查本单位安全生产工作不严，未能及时消除施工现场临时用电生产安全事故隐患，</w:t>
      </w:r>
      <w:r>
        <w:rPr>
          <w:rFonts w:hint="eastAsia" w:hAnsi="宋体"/>
          <w:color w:val="auto"/>
          <w:sz w:val="31"/>
          <w:szCs w:val="31"/>
        </w:rPr>
        <w:t>违反《中华人民共和国安全</w:t>
      </w:r>
    </w:p>
    <w:p>
      <w:pPr>
        <w:pStyle w:val="22"/>
        <w:spacing w:line="570" w:lineRule="exact"/>
        <w:jc w:val="both"/>
        <w:rPr>
          <w:rFonts w:hAnsi="宋体"/>
          <w:color w:val="auto"/>
          <w:sz w:val="31"/>
          <w:szCs w:val="31"/>
        </w:rPr>
      </w:pPr>
      <w:r>
        <w:rPr>
          <w:rFonts w:hint="eastAsia" w:hAnsi="宋体"/>
          <w:color w:val="auto"/>
          <w:sz w:val="31"/>
          <w:szCs w:val="31"/>
        </w:rPr>
        <w:t>生产法》第二十一条第五项，</w:t>
      </w:r>
      <w:r>
        <w:rPr>
          <w:rFonts w:hint="eastAsia" w:hAnsi="仿宋_GB2312"/>
          <w:color w:val="auto"/>
          <w:sz w:val="32"/>
          <w:szCs w:val="32"/>
        </w:rPr>
        <w:t>对事故发生负有领导责任，建议</w:t>
      </w:r>
      <w:r>
        <w:rPr>
          <w:rFonts w:hint="eastAsia" w:hAnsi="宋体"/>
          <w:color w:val="auto"/>
          <w:sz w:val="31"/>
          <w:szCs w:val="31"/>
        </w:rPr>
        <w:t>由</w:t>
      </w:r>
    </w:p>
    <w:p>
      <w:pPr>
        <w:pStyle w:val="22"/>
        <w:spacing w:line="570" w:lineRule="exact"/>
        <w:jc w:val="both"/>
        <w:rPr>
          <w:rFonts w:hAnsi="仿宋_GB2312"/>
          <w:color w:val="auto"/>
          <w:sz w:val="32"/>
          <w:szCs w:val="32"/>
        </w:rPr>
      </w:pPr>
      <w:r>
        <w:rPr>
          <w:rFonts w:hint="eastAsia" w:hAnsi="宋体"/>
          <w:color w:val="auto"/>
          <w:sz w:val="31"/>
          <w:szCs w:val="31"/>
        </w:rPr>
        <w:t>区应急局</w:t>
      </w:r>
      <w:r>
        <w:rPr>
          <w:rFonts w:hint="eastAsia" w:hAnsi="仿宋_GB2312"/>
          <w:color w:val="auto"/>
          <w:sz w:val="32"/>
          <w:szCs w:val="32"/>
        </w:rPr>
        <w:t>依照《中华人民共和国安全生产法》第九十五条第一项依法处罚。</w:t>
      </w:r>
    </w:p>
    <w:p>
      <w:pPr>
        <w:spacing w:line="570" w:lineRule="exact"/>
        <w:ind w:firstLine="640" w:firstLineChars="200"/>
        <w:rPr>
          <w:rFonts w:ascii="仿宋_GB2312" w:hAnsi="仿宋_GB2312" w:eastAsia="仿宋_GB2312" w:cs="仿宋_GB2312"/>
          <w:kern w:val="0"/>
          <w:sz w:val="32"/>
          <w:szCs w:val="32"/>
        </w:rPr>
      </w:pPr>
      <w:bookmarkStart w:id="37" w:name="_Toc196488710"/>
      <w:bookmarkStart w:id="38" w:name="_Toc196489761"/>
      <w:bookmarkStart w:id="39" w:name="_Toc196489469"/>
      <w:bookmarkStart w:id="40" w:name="_Toc196490326"/>
      <w:r>
        <w:rPr>
          <w:rFonts w:hint="eastAsia" w:ascii="仿宋_GB2312" w:hAnsi="仿宋_GB2312" w:eastAsia="仿宋_GB2312" w:cs="仿宋_GB2312"/>
          <w:kern w:val="0"/>
          <w:sz w:val="32"/>
          <w:szCs w:val="32"/>
        </w:rPr>
        <w:t>3.杨某刚</w:t>
      </w:r>
      <w:r>
        <w:rPr>
          <w:rFonts w:hint="eastAsia" w:ascii="仿宋_GB2312" w:hAnsi="宋体" w:eastAsia="仿宋_GB2312" w:cs="仿宋_GB2312"/>
          <w:kern w:val="0"/>
          <w:sz w:val="31"/>
          <w:szCs w:val="31"/>
        </w:rPr>
        <w:t>（班组长）</w:t>
      </w:r>
      <w:r>
        <w:rPr>
          <w:rFonts w:hint="eastAsia" w:ascii="仿宋_GB2312" w:hAnsi="仿宋_GB2312" w:eastAsia="仿宋_GB2312" w:cs="仿宋_GB2312"/>
          <w:kern w:val="0"/>
          <w:sz w:val="32"/>
          <w:szCs w:val="32"/>
        </w:rPr>
        <w:t>，男，申请有限空间内清理积水作业未到现场进行气体检测，违反《缺氧危险作业安全规程》（GB 8958-2006）5.1.1，</w:t>
      </w:r>
      <w:bookmarkEnd w:id="37"/>
      <w:bookmarkEnd w:id="38"/>
      <w:bookmarkEnd w:id="39"/>
      <w:bookmarkEnd w:id="40"/>
      <w:bookmarkStart w:id="41" w:name="_Toc196489472"/>
      <w:bookmarkStart w:id="42" w:name="_Toc196490329"/>
      <w:bookmarkStart w:id="43" w:name="_Toc196488713"/>
      <w:bookmarkStart w:id="44" w:name="_Toc196489764"/>
      <w:r>
        <w:rPr>
          <w:rFonts w:hint="eastAsia" w:ascii="仿宋_GB2312" w:hAnsi="仿宋_GB2312" w:eastAsia="仿宋_GB2312" w:cs="仿宋_GB2312"/>
          <w:kern w:val="0"/>
          <w:sz w:val="32"/>
          <w:szCs w:val="32"/>
        </w:rPr>
        <w:t>建议由区应急局依照《安全生产违法行为处罚办法》（国家安全监管总局令第15号）第四十五条第一项依法处罚。</w:t>
      </w:r>
    </w:p>
    <w:bookmarkEnd w:id="41"/>
    <w:bookmarkEnd w:id="42"/>
    <w:bookmarkEnd w:id="43"/>
    <w:bookmarkEnd w:id="44"/>
    <w:p>
      <w:pPr>
        <w:spacing w:line="57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4.郑某，男，其作为厦船重工公司涂装部调度员，对外协单位厦门靖华通公司有限空间作业审批把关不严，违反《缺氧危险作业安全规程》（GB 8958-2006）5.1.1，建议由区应急局依照《安全生产违法行为处罚办法》（国家安全生产监督管理总局令第15号）第四十五条第一项依法处罚。</w:t>
      </w:r>
    </w:p>
    <w:p>
      <w:pPr>
        <w:pStyle w:val="22"/>
        <w:spacing w:line="570" w:lineRule="exact"/>
        <w:ind w:firstLine="640" w:firstLineChars="200"/>
        <w:jc w:val="both"/>
        <w:rPr>
          <w:rFonts w:hAnsi="仿宋_GB2312"/>
          <w:color w:val="auto"/>
          <w:sz w:val="32"/>
          <w:szCs w:val="32"/>
        </w:rPr>
      </w:pPr>
      <w:r>
        <w:rPr>
          <w:rFonts w:hint="eastAsia" w:hAnsi="仿宋_GB2312"/>
          <w:sz w:val="32"/>
          <w:szCs w:val="32"/>
        </w:rPr>
        <w:t>5.厦门靖华通公司，生产安全事故隐患排查治理制度不健全，未能及时发现并消除清理积用电设备存在的事故隐患；未为从业人员配齐绝缘手套等劳动防护用品；对清理积水作业人员安全技术交底不到位，从业人员缺乏基本安全用电常识，</w:t>
      </w:r>
      <w:r>
        <w:rPr>
          <w:rFonts w:hint="eastAsia" w:hAnsi="宋体"/>
          <w:sz w:val="31"/>
          <w:szCs w:val="31"/>
        </w:rPr>
        <w:t>违反《中华人民共和国安全生产法》第四十一条第二款、第四十五条及第二十八条第一款，</w:t>
      </w:r>
      <w:r>
        <w:rPr>
          <w:rFonts w:hint="eastAsia" w:hAnsi="仿宋_GB2312"/>
          <w:sz w:val="32"/>
          <w:szCs w:val="32"/>
        </w:rPr>
        <w:t>对事故发生负有责任，建议</w:t>
      </w:r>
      <w:r>
        <w:rPr>
          <w:rFonts w:hint="eastAsia" w:hAnsi="宋体"/>
          <w:sz w:val="31"/>
          <w:szCs w:val="31"/>
        </w:rPr>
        <w:t>由区应急局</w:t>
      </w:r>
      <w:r>
        <w:rPr>
          <w:rFonts w:hint="eastAsia" w:hAnsi="仿宋_GB2312"/>
          <w:sz w:val="32"/>
          <w:szCs w:val="32"/>
        </w:rPr>
        <w:t>依照《中华人民共和国安全生产法》第一百一十四条</w:t>
      </w:r>
      <w:r>
        <w:rPr>
          <w:rFonts w:hint="eastAsia" w:hAnsi="仿宋_GB2312"/>
          <w:color w:val="auto"/>
          <w:sz w:val="32"/>
          <w:szCs w:val="32"/>
        </w:rPr>
        <w:t>第一款第一项依法处罚。</w:t>
      </w:r>
    </w:p>
    <w:p>
      <w:pPr>
        <w:pStyle w:val="22"/>
        <w:spacing w:line="570" w:lineRule="exact"/>
        <w:ind w:firstLine="640" w:firstLineChars="200"/>
        <w:jc w:val="both"/>
        <w:rPr>
          <w:rFonts w:hAnsi="仿宋_GB2312"/>
          <w:color w:val="auto"/>
          <w:sz w:val="32"/>
          <w:szCs w:val="32"/>
        </w:rPr>
      </w:pPr>
      <w:r>
        <w:rPr>
          <w:rFonts w:hint="eastAsia" w:hAnsi="仿宋_GB2312"/>
          <w:sz w:val="32"/>
          <w:szCs w:val="32"/>
        </w:rPr>
        <w:t>6.厦船重工公司，组织金属船舱内临时用电作业未</w:t>
      </w:r>
      <w:r>
        <w:rPr>
          <w:rFonts w:hint="eastAsia" w:hAnsi="仿宋_GB2312"/>
          <w:color w:val="auto"/>
          <w:kern w:val="2"/>
          <w:sz w:val="32"/>
          <w:szCs w:val="32"/>
        </w:rPr>
        <w:t>纳入危险作业进行分级管理，</w:t>
      </w:r>
      <w:r>
        <w:rPr>
          <w:rFonts w:hint="eastAsia" w:hAnsi="仿宋_GB2312"/>
          <w:sz w:val="32"/>
          <w:szCs w:val="32"/>
        </w:rPr>
        <w:t>未安排专门人员进行现场安全管理；对外协单位厦门靖华通公司安全生产协调、管理不力，</w:t>
      </w:r>
      <w:r>
        <w:rPr>
          <w:rFonts w:hint="eastAsia" w:hAnsi="宋体"/>
          <w:sz w:val="31"/>
          <w:szCs w:val="31"/>
        </w:rPr>
        <w:t>违反《中华人民共和国安全生产法》第二十条、第四十三条及第四十九条第二款，</w:t>
      </w:r>
      <w:r>
        <w:rPr>
          <w:rFonts w:hint="eastAsia" w:hAnsi="仿宋_GB2312"/>
          <w:sz w:val="32"/>
          <w:szCs w:val="32"/>
        </w:rPr>
        <w:t>对事故发生负有责任，建议</w:t>
      </w:r>
      <w:r>
        <w:rPr>
          <w:rFonts w:hint="eastAsia" w:hAnsi="宋体"/>
          <w:sz w:val="31"/>
          <w:szCs w:val="31"/>
        </w:rPr>
        <w:t>由区应急局</w:t>
      </w:r>
      <w:r>
        <w:rPr>
          <w:rFonts w:hint="eastAsia" w:hAnsi="仿宋_GB2312"/>
          <w:sz w:val="32"/>
          <w:szCs w:val="32"/>
        </w:rPr>
        <w:t>依照《中华人民共和国安全生产法》第一百一十四条</w:t>
      </w:r>
      <w:r>
        <w:rPr>
          <w:rFonts w:hint="eastAsia" w:hAnsi="仿宋_GB2312"/>
          <w:color w:val="auto"/>
          <w:sz w:val="32"/>
          <w:szCs w:val="32"/>
        </w:rPr>
        <w:t>第一款第一项依法处罚。</w:t>
      </w:r>
    </w:p>
    <w:p>
      <w:pPr>
        <w:pStyle w:val="22"/>
        <w:spacing w:line="570" w:lineRule="exact"/>
        <w:ind w:firstLine="645"/>
        <w:jc w:val="both"/>
        <w:outlineLvl w:val="1"/>
        <w:rPr>
          <w:rFonts w:ascii="楷体" w:hAnsi="楷体" w:eastAsia="楷体"/>
          <w:sz w:val="32"/>
          <w:szCs w:val="32"/>
        </w:rPr>
      </w:pPr>
      <w:bookmarkStart w:id="45" w:name="_Toc140145730"/>
      <w:r>
        <w:rPr>
          <w:rFonts w:hint="eastAsia" w:ascii="楷体_GB2312" w:hAnsi="楷体_GB2312" w:eastAsia="楷体_GB2312" w:cs="楷体_GB2312"/>
          <w:sz w:val="32"/>
          <w:szCs w:val="32"/>
        </w:rPr>
        <w:t>（三）有关责任人员的处理建议</w:t>
      </w:r>
      <w:bookmarkEnd w:id="45"/>
    </w:p>
    <w:p>
      <w:pPr>
        <w:spacing w:line="570" w:lineRule="exact"/>
        <w:ind w:firstLine="640" w:firstLineChars="200"/>
        <w:rPr>
          <w:rFonts w:ascii="仿宋_GB2312" w:hAnsi="仿宋_GB2312" w:eastAsia="仿宋_GB2312" w:cs="仿宋_GB2312"/>
          <w:kern w:val="0"/>
          <w:sz w:val="32"/>
          <w:szCs w:val="32"/>
        </w:rPr>
      </w:pPr>
      <w:bookmarkStart w:id="46" w:name="_Toc196488711"/>
      <w:bookmarkStart w:id="47" w:name="_Toc196490327"/>
      <w:bookmarkStart w:id="48" w:name="_Toc196489762"/>
      <w:bookmarkStart w:id="49" w:name="_Toc196489470"/>
      <w:r>
        <w:rPr>
          <w:rFonts w:hint="eastAsia" w:ascii="仿宋_GB2312" w:hAnsi="仿宋_GB2312" w:eastAsia="仿宋_GB2312" w:cs="仿宋_GB2312"/>
          <w:kern w:val="0"/>
          <w:sz w:val="32"/>
          <w:szCs w:val="32"/>
        </w:rPr>
        <w:t>1.刘某峰，男，厦船重工公司项目经理，负责统筹501A船建造进度、质量等，对安全生产工作协调、管理不力，建议由厦船重工公司依照该公司相关管理制度进行处罚。</w:t>
      </w:r>
      <w:bookmarkEnd w:id="46"/>
      <w:bookmarkEnd w:id="47"/>
      <w:bookmarkEnd w:id="48"/>
      <w:bookmarkEnd w:id="49"/>
    </w:p>
    <w:p>
      <w:pPr>
        <w:spacing w:line="570" w:lineRule="exact"/>
        <w:ind w:firstLine="640" w:firstLineChars="200"/>
        <w:rPr>
          <w:rFonts w:ascii="仿宋_GB2312" w:hAnsi="仿宋_GB2312" w:eastAsia="仿宋_GB2312" w:cs="仿宋_GB2312"/>
          <w:color w:val="000000"/>
          <w:kern w:val="0"/>
          <w:sz w:val="32"/>
          <w:szCs w:val="32"/>
        </w:rPr>
      </w:pPr>
      <w:bookmarkStart w:id="50" w:name="_Toc196489471"/>
      <w:bookmarkStart w:id="51" w:name="_Toc196488712"/>
      <w:bookmarkStart w:id="52" w:name="_Toc196490328"/>
      <w:bookmarkStart w:id="53" w:name="_Toc196489763"/>
      <w:r>
        <w:rPr>
          <w:rFonts w:hint="eastAsia" w:ascii="仿宋_GB2312" w:hAnsi="仿宋_GB2312" w:eastAsia="仿宋_GB2312" w:cs="仿宋_GB2312"/>
          <w:color w:val="000000"/>
          <w:kern w:val="0"/>
          <w:sz w:val="32"/>
          <w:szCs w:val="32"/>
        </w:rPr>
        <w:t>2.谈某，男，厦船重工公司涂装部部长，对本业务部门及外协单位作业班组安全生产协调、管理不到位，未认真组织排查作业现场临时用电生产安全事故隐患，建议由厦船重工公司依照该公司相关管理制度进行处罚。</w:t>
      </w:r>
      <w:bookmarkEnd w:id="50"/>
      <w:bookmarkEnd w:id="51"/>
      <w:bookmarkEnd w:id="52"/>
      <w:bookmarkEnd w:id="53"/>
    </w:p>
    <w:p>
      <w:pPr>
        <w:spacing w:line="57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以上2人处罚结果，由厦船重工公司于2025年6月25日前报</w:t>
      </w:r>
      <w:r>
        <w:rPr>
          <w:rFonts w:hint="eastAsia" w:ascii="仿宋_GB2312" w:hAnsi="仿宋_GB2312" w:eastAsia="仿宋_GB2312" w:cs="仿宋_GB2312"/>
          <w:sz w:val="32"/>
          <w:szCs w:val="32"/>
        </w:rPr>
        <w:t>区科技和工信商务局及区应急局备案。</w:t>
      </w:r>
    </w:p>
    <w:p>
      <w:pPr>
        <w:pStyle w:val="22"/>
        <w:spacing w:line="570" w:lineRule="exact"/>
        <w:ind w:firstLine="645"/>
        <w:jc w:val="both"/>
        <w:outlineLvl w:val="1"/>
        <w:rPr>
          <w:rFonts w:hint="eastAsia" w:ascii="楷体_GB2312" w:hAnsi="楷体_GB2312" w:eastAsia="楷体_GB2312" w:cs="楷体_GB2312"/>
          <w:sz w:val="32"/>
          <w:szCs w:val="32"/>
        </w:rPr>
      </w:pPr>
      <w:bookmarkStart w:id="54" w:name="_Toc1068560655"/>
      <w:bookmarkStart w:id="55" w:name="_Toc15499"/>
      <w:bookmarkStart w:id="56" w:name="_Toc30466"/>
      <w:bookmarkStart w:id="57" w:name="_Toc196489765"/>
      <w:r>
        <w:rPr>
          <w:rFonts w:hint="eastAsia" w:ascii="楷体_GB2312" w:hAnsi="楷体_GB2312" w:eastAsia="楷体_GB2312" w:cs="楷体_GB2312"/>
          <w:sz w:val="32"/>
          <w:szCs w:val="32"/>
        </w:rPr>
        <w:t>（四）其他处理</w:t>
      </w:r>
      <w:bookmarkEnd w:id="54"/>
    </w:p>
    <w:p>
      <w:pPr>
        <w:spacing w:line="570" w:lineRule="exact"/>
        <w:ind w:firstLine="640" w:firstLineChars="200"/>
        <w:rPr>
          <w:rFonts w:ascii="仿宋_GB2312" w:hAnsi="仿宋_GB2312" w:eastAsia="仿宋_GB2312" w:cs="仿宋_GB2312"/>
          <w:sz w:val="32"/>
          <w:szCs w:val="32"/>
        </w:rPr>
      </w:pPr>
      <w:bookmarkStart w:id="58" w:name="_Toc198109061"/>
      <w:r>
        <w:rPr>
          <w:rFonts w:hint="eastAsia" w:ascii="仿宋_GB2312" w:hAnsi="仿宋_GB2312" w:eastAsia="仿宋_GB2312" w:cs="仿宋_GB2312"/>
          <w:sz w:val="32"/>
          <w:szCs w:val="32"/>
        </w:rPr>
        <w:t>区科技和工信商务局作为属地民用船舶制造业主管部门，未有效指导督促厦船重工公司落实企业安全生产主体责任，</w:t>
      </w:r>
      <w:r>
        <w:rPr>
          <w:rFonts w:hint="eastAsia" w:ascii="仿宋_GB2312" w:eastAsia="仿宋_GB2312" w:cs="仿宋_GB2312"/>
          <w:kern w:val="0"/>
          <w:sz w:val="32"/>
          <w:szCs w:val="32"/>
        </w:rPr>
        <w:t>建议其</w:t>
      </w:r>
      <w:r>
        <w:rPr>
          <w:rFonts w:hint="eastAsia" w:ascii="仿宋_GB2312" w:hAnsi="仿宋_GB2312" w:eastAsia="仿宋_GB2312" w:cs="仿宋_GB2312"/>
          <w:sz w:val="32"/>
          <w:szCs w:val="32"/>
        </w:rPr>
        <w:t>向区政府作出书面检查。</w:t>
      </w:r>
      <w:bookmarkEnd w:id="58"/>
    </w:p>
    <w:p>
      <w:pPr>
        <w:spacing w:line="570" w:lineRule="exact"/>
        <w:ind w:firstLine="640" w:firstLineChars="200"/>
        <w:outlineLvl w:val="0"/>
        <w:rPr>
          <w:rFonts w:eastAsia="黑体"/>
          <w:sz w:val="32"/>
          <w:szCs w:val="32"/>
        </w:rPr>
      </w:pPr>
      <w:bookmarkStart w:id="59" w:name="_Toc50737232"/>
      <w:r>
        <w:rPr>
          <w:rFonts w:hint="eastAsia" w:eastAsia="黑体"/>
          <w:sz w:val="32"/>
          <w:szCs w:val="32"/>
        </w:rPr>
        <w:t>六</w:t>
      </w:r>
      <w:r>
        <w:rPr>
          <w:rFonts w:eastAsia="黑体"/>
          <w:sz w:val="32"/>
          <w:szCs w:val="32"/>
        </w:rPr>
        <w:t>、</w:t>
      </w:r>
      <w:bookmarkEnd w:id="55"/>
      <w:r>
        <w:rPr>
          <w:rFonts w:eastAsia="黑体"/>
          <w:sz w:val="32"/>
          <w:szCs w:val="32"/>
        </w:rPr>
        <w:t>事故主要教训</w:t>
      </w:r>
      <w:bookmarkEnd w:id="56"/>
      <w:bookmarkEnd w:id="57"/>
      <w:bookmarkEnd w:id="59"/>
    </w:p>
    <w:p>
      <w:pPr>
        <w:spacing w:line="570" w:lineRule="exact"/>
        <w:ind w:firstLine="640" w:firstLineChars="200"/>
        <w:rPr>
          <w:rFonts w:eastAsia="黑体"/>
          <w:sz w:val="32"/>
          <w:szCs w:val="32"/>
        </w:rPr>
      </w:pPr>
      <w:bookmarkStart w:id="60" w:name="_Toc19996"/>
      <w:r>
        <w:rPr>
          <w:rFonts w:eastAsia="仿宋_GB2312"/>
          <w:sz w:val="32"/>
          <w:szCs w:val="32"/>
        </w:rPr>
        <w:t>该起事故暴露出事发相关企业安全生产主体责任不落实</w:t>
      </w:r>
      <w:r>
        <w:rPr>
          <w:rFonts w:hint="eastAsia" w:eastAsia="仿宋_GB2312"/>
          <w:sz w:val="32"/>
          <w:szCs w:val="32"/>
        </w:rPr>
        <w:t>，存在安全风险分级管控和隐患排查治理双重预防工作机制不健全，</w:t>
      </w:r>
      <w:r>
        <w:rPr>
          <w:rFonts w:eastAsia="仿宋_GB2312"/>
          <w:sz w:val="32"/>
          <w:szCs w:val="32"/>
        </w:rPr>
        <w:t>作业人员</w:t>
      </w:r>
      <w:r>
        <w:rPr>
          <w:rFonts w:hint="eastAsia" w:eastAsia="仿宋_GB2312"/>
          <w:sz w:val="32"/>
          <w:szCs w:val="32"/>
        </w:rPr>
        <w:t>安全意识淡薄</w:t>
      </w:r>
      <w:r>
        <w:rPr>
          <w:rFonts w:eastAsia="仿宋_GB2312"/>
          <w:sz w:val="32"/>
          <w:szCs w:val="32"/>
        </w:rPr>
        <w:t>，</w:t>
      </w:r>
      <w:r>
        <w:rPr>
          <w:rFonts w:hint="eastAsia" w:eastAsia="仿宋_GB2312"/>
          <w:sz w:val="32"/>
          <w:szCs w:val="32"/>
        </w:rPr>
        <w:t>相关安全生产管理制度执行不严，作业</w:t>
      </w:r>
      <w:r>
        <w:rPr>
          <w:rFonts w:eastAsia="仿宋_GB2312"/>
          <w:sz w:val="32"/>
          <w:szCs w:val="32"/>
        </w:rPr>
        <w:t>现场安全管理</w:t>
      </w:r>
      <w:r>
        <w:rPr>
          <w:rFonts w:hint="eastAsia" w:eastAsia="仿宋_GB2312"/>
          <w:sz w:val="32"/>
          <w:szCs w:val="32"/>
        </w:rPr>
        <w:t>不到位</w:t>
      </w:r>
      <w:r>
        <w:rPr>
          <w:rFonts w:eastAsia="仿宋_GB2312"/>
          <w:sz w:val="32"/>
          <w:szCs w:val="32"/>
        </w:rPr>
        <w:t>，安全防范措施不扎实等问题。</w:t>
      </w:r>
      <w:bookmarkStart w:id="61" w:name="_Toc7230"/>
      <w:r>
        <w:rPr>
          <w:rFonts w:hint="eastAsia" w:eastAsia="仿宋_GB2312"/>
          <w:sz w:val="32"/>
          <w:szCs w:val="32"/>
        </w:rPr>
        <w:t>行业部门应树牢安全发展理念，按照“三管三必须”要求，进一步强化安全</w:t>
      </w:r>
      <w:r>
        <w:rPr>
          <w:rFonts w:eastAsia="仿宋_GB2312"/>
          <w:sz w:val="32"/>
          <w:szCs w:val="32"/>
        </w:rPr>
        <w:t>监管</w:t>
      </w:r>
      <w:r>
        <w:rPr>
          <w:rFonts w:hint="eastAsia" w:eastAsia="仿宋_GB2312"/>
          <w:sz w:val="32"/>
          <w:szCs w:val="32"/>
        </w:rPr>
        <w:t>，层层压紧压实安全责任，防范此类事故发生。</w:t>
      </w:r>
    </w:p>
    <w:p>
      <w:pPr>
        <w:spacing w:line="570" w:lineRule="exact"/>
        <w:ind w:firstLine="640" w:firstLineChars="200"/>
        <w:outlineLvl w:val="0"/>
        <w:rPr>
          <w:rFonts w:eastAsia="仿宋"/>
          <w:sz w:val="32"/>
          <w:szCs w:val="32"/>
        </w:rPr>
      </w:pPr>
      <w:bookmarkStart w:id="62" w:name="_Toc489301948"/>
      <w:bookmarkStart w:id="63" w:name="_Toc196489766"/>
      <w:r>
        <w:rPr>
          <w:rFonts w:hint="eastAsia" w:eastAsia="黑体"/>
          <w:sz w:val="32"/>
          <w:szCs w:val="32"/>
        </w:rPr>
        <w:t>七</w:t>
      </w:r>
      <w:r>
        <w:rPr>
          <w:rFonts w:eastAsia="黑体"/>
          <w:sz w:val="32"/>
          <w:szCs w:val="32"/>
        </w:rPr>
        <w:t>、事故整改和防范措施</w:t>
      </w:r>
      <w:bookmarkEnd w:id="60"/>
      <w:bookmarkEnd w:id="61"/>
      <w:r>
        <w:rPr>
          <w:rFonts w:hint="eastAsia" w:eastAsia="黑体"/>
          <w:sz w:val="32"/>
          <w:szCs w:val="32"/>
        </w:rPr>
        <w:t>建议</w:t>
      </w:r>
      <w:bookmarkEnd w:id="62"/>
      <w:bookmarkEnd w:id="63"/>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为认真吸取该起事故的深刻教训，杜绝类似事故的发生，针对事故暴露出的问题，提出如下整改建议：</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厦门靖华通船舶工程有限公司要认真吸取事故教训，立即建立健全本单位全员安全生产责任制，加大安全生产投入，认真教育和督促从业人员严格遵守本单位及厦船重工公司相关安全生产规章制度和安全操作规程，扎实有效开展</w:t>
      </w:r>
      <w:r>
        <w:rPr>
          <w:rFonts w:hint="eastAsia" w:eastAsia="仿宋_GB2312"/>
          <w:sz w:val="32"/>
          <w:szCs w:val="32"/>
        </w:rPr>
        <w:t>隐患排查治理工作，</w:t>
      </w:r>
      <w:r>
        <w:rPr>
          <w:rFonts w:hint="eastAsia" w:ascii="仿宋_GB2312" w:hAnsi="仿宋_GB2312" w:eastAsia="仿宋_GB2312" w:cs="仿宋_GB2312"/>
          <w:sz w:val="32"/>
          <w:szCs w:val="32"/>
        </w:rPr>
        <w:t>切实落实安全生产主体责任。整改落实情况，</w:t>
      </w:r>
      <w:r>
        <w:rPr>
          <w:rFonts w:hint="eastAsia" w:ascii="仿宋_GB2312" w:hAnsi="仿宋_GB2312" w:eastAsia="仿宋_GB2312" w:cs="仿宋_GB2312"/>
          <w:kern w:val="0"/>
          <w:sz w:val="32"/>
          <w:szCs w:val="32"/>
        </w:rPr>
        <w:t>于2025年6月25日前报</w:t>
      </w:r>
      <w:r>
        <w:rPr>
          <w:rFonts w:hint="eastAsia" w:ascii="仿宋_GB2312" w:hAnsi="仿宋_GB2312" w:eastAsia="仿宋_GB2312" w:cs="仿宋_GB2312"/>
          <w:sz w:val="32"/>
          <w:szCs w:val="32"/>
        </w:rPr>
        <w:t>区科技和工信商务局及区应急局备案。</w:t>
      </w:r>
    </w:p>
    <w:p>
      <w:pPr>
        <w:pStyle w:val="22"/>
        <w:spacing w:line="570" w:lineRule="exact"/>
        <w:ind w:firstLine="640" w:firstLineChars="200"/>
        <w:jc w:val="both"/>
        <w:rPr>
          <w:color w:val="auto"/>
        </w:rPr>
      </w:pPr>
      <w:r>
        <w:rPr>
          <w:rFonts w:hint="eastAsia" w:hAnsi="仿宋_GB2312"/>
          <w:color w:val="auto"/>
          <w:sz w:val="32"/>
          <w:szCs w:val="32"/>
        </w:rPr>
        <w:t>（二）厦门船舶重工股份有限公司要深刻吸取本次事故教训，</w:t>
      </w:r>
      <w:r>
        <w:rPr>
          <w:rFonts w:hint="eastAsia"/>
          <w:color w:val="auto"/>
          <w:sz w:val="32"/>
          <w:szCs w:val="32"/>
        </w:rPr>
        <w:t>建立健全本单位安全风险分级管控和隐患排查治理双重预防工作机制，加大作业现场有限空间、临时用电等特殊作业安全管理力度，</w:t>
      </w:r>
      <w:r>
        <w:rPr>
          <w:rFonts w:hint="eastAsia" w:hAnsi="仿宋_GB2312"/>
          <w:color w:val="auto"/>
          <w:kern w:val="2"/>
          <w:sz w:val="32"/>
          <w:szCs w:val="32"/>
        </w:rPr>
        <w:t>按照“谁主管负责、谁用工谁负责、谁审批谁负责”原则</w:t>
      </w:r>
      <w:r>
        <w:rPr>
          <w:rFonts w:hint="eastAsia"/>
          <w:color w:val="auto"/>
          <w:sz w:val="32"/>
          <w:szCs w:val="32"/>
        </w:rPr>
        <w:t>，</w:t>
      </w:r>
      <w:r>
        <w:rPr>
          <w:rFonts w:hint="eastAsia" w:hAnsi="仿宋_GB2312"/>
          <w:sz w:val="32"/>
          <w:szCs w:val="32"/>
        </w:rPr>
        <w:t>从严落实审批和专人监护，</w:t>
      </w:r>
      <w:r>
        <w:rPr>
          <w:rFonts w:hint="eastAsia" w:hAnsi="仿宋_GB2312"/>
          <w:color w:val="auto"/>
          <w:sz w:val="32"/>
          <w:szCs w:val="32"/>
        </w:rPr>
        <w:t>同时加强应急演练提升应急预案的可行性和有效性，杜绝类似事故再次发生；要加强对各类外协分包单位安全生产工作的统一协调、管理，结合生产实际对分包单位进行专项整治，确保安全生产主体责任落实。整改落实情况，于2025年6月25日前报区科技和工信商务局及区应急局备案。</w:t>
      </w:r>
    </w:p>
    <w:p>
      <w:pPr>
        <w:spacing w:line="570" w:lineRule="exact"/>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三）区科技和工信商务局要督促全区船舶制造行业企业以此起事故为警示，加强外协分包单位安全生产的统一协调、管理，强化船舶制造各个环节的安全风险分级管控和隐患排查治理，确保各外协分包单位切实能履行各自安全生产责任，严防各类生产安全事故的发生。</w:t>
      </w:r>
    </w:p>
    <w:p>
      <w:pPr>
        <w:pStyle w:val="22"/>
        <w:spacing w:line="570" w:lineRule="exact"/>
        <w:jc w:val="center"/>
        <w:rPr>
          <w:rFonts w:hint="eastAsia"/>
          <w:sz w:val="32"/>
          <w:szCs w:val="32"/>
        </w:rPr>
      </w:pPr>
      <w:r>
        <w:rPr>
          <w:rFonts w:hint="eastAsia"/>
          <w:sz w:val="32"/>
          <w:szCs w:val="32"/>
        </w:rPr>
        <w:t xml:space="preserve">              </w:t>
      </w:r>
    </w:p>
    <w:p>
      <w:pPr>
        <w:pStyle w:val="22"/>
        <w:spacing w:line="570" w:lineRule="exact"/>
        <w:jc w:val="center"/>
        <w:rPr>
          <w:rFonts w:hint="eastAsia"/>
          <w:sz w:val="32"/>
          <w:szCs w:val="32"/>
        </w:rPr>
      </w:pPr>
    </w:p>
    <w:p>
      <w:pPr>
        <w:pStyle w:val="22"/>
        <w:spacing w:line="570" w:lineRule="exact"/>
        <w:jc w:val="center"/>
        <w:rPr>
          <w:sz w:val="32"/>
          <w:szCs w:val="32"/>
        </w:rPr>
      </w:pPr>
      <w:r>
        <w:rPr>
          <w:rFonts w:hint="eastAsia"/>
          <w:sz w:val="32"/>
          <w:szCs w:val="32"/>
        </w:rPr>
        <w:t xml:space="preserve">               海沧嵩屿厦门船舶重工股份有限公司</w:t>
      </w:r>
    </w:p>
    <w:p>
      <w:pPr>
        <w:pStyle w:val="22"/>
        <w:spacing w:line="570" w:lineRule="exact"/>
        <w:jc w:val="center"/>
        <w:rPr>
          <w:sz w:val="32"/>
          <w:szCs w:val="32"/>
        </w:rPr>
      </w:pPr>
      <w:r>
        <w:rPr>
          <w:rFonts w:hint="eastAsia"/>
          <w:sz w:val="32"/>
          <w:szCs w:val="32"/>
        </w:rPr>
        <w:t xml:space="preserve">             “3</w:t>
      </w:r>
      <w:r>
        <w:rPr>
          <w:rFonts w:hint="eastAsia" w:hAnsi="宋体" w:eastAsia="宋体" w:cs="宋体"/>
          <w:sz w:val="32"/>
          <w:szCs w:val="32"/>
        </w:rPr>
        <w:t>•</w:t>
      </w:r>
      <w:r>
        <w:rPr>
          <w:rFonts w:hint="eastAsia"/>
          <w:sz w:val="32"/>
          <w:szCs w:val="32"/>
        </w:rPr>
        <w:t>11”一般触电事故调查组</w:t>
      </w:r>
    </w:p>
    <w:p>
      <w:pPr>
        <w:pStyle w:val="22"/>
        <w:spacing w:line="570" w:lineRule="exact"/>
        <w:jc w:val="center"/>
      </w:pPr>
      <w:r>
        <w:rPr>
          <w:rFonts w:hint="eastAsia"/>
          <w:sz w:val="32"/>
          <w:szCs w:val="32"/>
        </w:rPr>
        <w:t xml:space="preserve">              2025年5月28日</w:t>
      </w:r>
    </w:p>
    <w:sectPr>
      <w:footerReference r:id="rId3" w:type="default"/>
      <w:footerReference r:id="rId4" w:type="even"/>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DFKai-SB">
    <w:panose1 w:val="03000509000000000000"/>
    <w:charset w:val="88"/>
    <w:family w:val="auto"/>
    <w:pitch w:val="default"/>
    <w:sig w:usb0="00000003" w:usb1="082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pict>
        <v:shape id="_x0000_s2050" o:spid="_x0000_s2050" o:spt="202" type="#_x0000_t202" style="position:absolute;left:0pt;margin-top:-20.3pt;height:40.2pt;width:59.1pt;mso-position-horizontal:outside;mso-position-horizontal-relative:margin;z-index:251659264;mso-width-relative:page;mso-height-relative:page;" filled="f" stroked="f" coordsize="21600,21600" o:gfxdata="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G+4tXDWAAAABwEAAA8AAAAAAAAAAQAgAAAAOAAAAGRycy9kb3ducmV2&#10;LnhtbFBLAQIUABQAAAAIAIdO4kCfRrKjIQIAACsEAAAOAAAAAAAAAAEAIAAAADsBAABkcnMvZTJv&#10;RG9jLnhtbFBLBQYAAAAABgAGAFkBAADOBQAAAAA=&#10;">
          <v:path/>
          <v:fill on="f" focussize="0,0"/>
          <v:stroke on="f" weight="0.5pt" joinstyle="miter"/>
          <v:imagedata o:title=""/>
          <o:lock v:ext="edit"/>
          <v:textbox inset="0mm,0mm,0mm,0mm">
            <w:txbxContent>
              <w:sdt>
                <w:sdtPr>
                  <w:id w:val="582223874"/>
                </w:sdtPr>
                <w:sdtEndPr>
                  <w:rPr>
                    <w:rFonts w:asciiTheme="minorEastAsia" w:hAnsiTheme="minorEastAsia" w:eastAsiaTheme="minorEastAsia"/>
                    <w:sz w:val="28"/>
                    <w:szCs w:val="28"/>
                  </w:rPr>
                </w:sdtEndPr>
                <w:sdtContent>
                  <w:p>
                    <w:pPr>
                      <w:pStyle w:val="8"/>
                      <w:jc w:val="righ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3 -</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 xml:space="preserve"> </w:t>
                    </w:r>
                  </w:p>
                </w:sdtContent>
              </w:sdt>
              <w:p>
                <w:pPr>
                  <w:pStyle w:val="22"/>
                </w:pPr>
              </w:p>
            </w:txbxContent>
          </v:textbox>
        </v:shape>
      </w:pict>
    </w:r>
  </w:p>
  <w:p>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2049" o:spid="_x0000_s2049" o:spt="202" type="#_x0000_t202" style="position:absolute;left:0pt;margin-top:-20.3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NUsMjjVAAAACAEAAA8AAAAAAAAAAQAgAAAAOAAAAGRycy9kb3ducmV2LnhtbFBL&#10;AQIUABQAAAAIAIdO4kC4Q6o/HAIAACsEAAAOAAAAAAAAAAEAIAAAADoBAABkcnMvZTJvRG9jLnht&#10;bFBLBQYAAAAABgAGAFkBAADIBQAAAAA=&#10;">
          <v:path/>
          <v:fill on="f" focussize="0,0"/>
          <v:stroke on="f" weight="0.5pt" joinstyle="miter"/>
          <v:imagedata o:title=""/>
          <o:lock v:ext="edit"/>
          <v:textbox inset="0mm,0mm,0mm,0mm" style="mso-fit-shape-to-text:t;">
            <w:txbxContent>
              <w:sdt>
                <w:sdtPr>
                  <w:id w:val="582223878"/>
                </w:sdtPr>
                <w:sdtEndPr>
                  <w:rPr>
                    <w:rFonts w:asciiTheme="minorEastAsia" w:hAnsiTheme="minorEastAsia" w:eastAsiaTheme="minorEastAsia"/>
                    <w:sz w:val="28"/>
                    <w:szCs w:val="28"/>
                  </w:rPr>
                </w:sdtEndPr>
                <w:sdtContent>
                  <w:p>
                    <w:pPr>
                      <w:pStyle w:val="8"/>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2 -</w:t>
                    </w:r>
                    <w:r>
                      <w:rPr>
                        <w:rFonts w:asciiTheme="minorEastAsia" w:hAnsiTheme="minorEastAsia" w:eastAsiaTheme="minorEastAsia"/>
                        <w:sz w:val="28"/>
                        <w:szCs w:val="28"/>
                      </w:rPr>
                      <w:fldChar w:fldCharType="end"/>
                    </w:r>
                  </w:p>
                </w:sdtContent>
              </w:sdt>
              <w:p>
                <w:pPr>
                  <w:pStyle w:val="22"/>
                </w:pPr>
              </w:p>
            </w:txbxContent>
          </v:textbox>
        </v:shape>
      </w:pict>
    </w: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2MzNGNkMjhiNzk0MzZhNjdhOGMwNmEzMTc1NmYyNjgifQ=="/>
  </w:docVars>
  <w:rsids>
    <w:rsidRoot w:val="309F15CE"/>
    <w:rsid w:val="00001BD0"/>
    <w:rsid w:val="00003968"/>
    <w:rsid w:val="00004A23"/>
    <w:rsid w:val="00004C17"/>
    <w:rsid w:val="000069D8"/>
    <w:rsid w:val="000074FC"/>
    <w:rsid w:val="000125ED"/>
    <w:rsid w:val="00012E61"/>
    <w:rsid w:val="00013A44"/>
    <w:rsid w:val="00014E6A"/>
    <w:rsid w:val="000163C5"/>
    <w:rsid w:val="00016E4B"/>
    <w:rsid w:val="000174FE"/>
    <w:rsid w:val="00020004"/>
    <w:rsid w:val="00020EB3"/>
    <w:rsid w:val="00022839"/>
    <w:rsid w:val="0002290B"/>
    <w:rsid w:val="000241F5"/>
    <w:rsid w:val="000257DA"/>
    <w:rsid w:val="00027C97"/>
    <w:rsid w:val="00032F68"/>
    <w:rsid w:val="000445FA"/>
    <w:rsid w:val="0004676F"/>
    <w:rsid w:val="00046C5B"/>
    <w:rsid w:val="00051BFF"/>
    <w:rsid w:val="0006303D"/>
    <w:rsid w:val="00070095"/>
    <w:rsid w:val="00070D0B"/>
    <w:rsid w:val="000723FE"/>
    <w:rsid w:val="0007463F"/>
    <w:rsid w:val="0007504A"/>
    <w:rsid w:val="000757EB"/>
    <w:rsid w:val="00082745"/>
    <w:rsid w:val="00083554"/>
    <w:rsid w:val="000849B3"/>
    <w:rsid w:val="00084E98"/>
    <w:rsid w:val="000864B0"/>
    <w:rsid w:val="0009602E"/>
    <w:rsid w:val="00096DDF"/>
    <w:rsid w:val="00097621"/>
    <w:rsid w:val="000A0303"/>
    <w:rsid w:val="000A0BA3"/>
    <w:rsid w:val="000A15E2"/>
    <w:rsid w:val="000A30D9"/>
    <w:rsid w:val="000A41B1"/>
    <w:rsid w:val="000A7C07"/>
    <w:rsid w:val="000B1812"/>
    <w:rsid w:val="000B1BCB"/>
    <w:rsid w:val="000B50DD"/>
    <w:rsid w:val="000C018F"/>
    <w:rsid w:val="000C0460"/>
    <w:rsid w:val="000C4056"/>
    <w:rsid w:val="000C4391"/>
    <w:rsid w:val="000C43E5"/>
    <w:rsid w:val="000C57CE"/>
    <w:rsid w:val="000C5C2D"/>
    <w:rsid w:val="000D0588"/>
    <w:rsid w:val="000D7752"/>
    <w:rsid w:val="000D7BB0"/>
    <w:rsid w:val="000D7F0A"/>
    <w:rsid w:val="000E0CCB"/>
    <w:rsid w:val="000E1B96"/>
    <w:rsid w:val="000E2E4A"/>
    <w:rsid w:val="000F2200"/>
    <w:rsid w:val="000F55A7"/>
    <w:rsid w:val="00102CDF"/>
    <w:rsid w:val="001117C9"/>
    <w:rsid w:val="00111C7E"/>
    <w:rsid w:val="00116F95"/>
    <w:rsid w:val="0011799C"/>
    <w:rsid w:val="00123A63"/>
    <w:rsid w:val="00125D48"/>
    <w:rsid w:val="001266CF"/>
    <w:rsid w:val="00131C05"/>
    <w:rsid w:val="00144561"/>
    <w:rsid w:val="00144B92"/>
    <w:rsid w:val="00150100"/>
    <w:rsid w:val="0015510F"/>
    <w:rsid w:val="001567F4"/>
    <w:rsid w:val="0016385B"/>
    <w:rsid w:val="001639FB"/>
    <w:rsid w:val="00163A19"/>
    <w:rsid w:val="00164E05"/>
    <w:rsid w:val="001650E7"/>
    <w:rsid w:val="001663EF"/>
    <w:rsid w:val="00166F1B"/>
    <w:rsid w:val="00167103"/>
    <w:rsid w:val="00167CDD"/>
    <w:rsid w:val="00167FA5"/>
    <w:rsid w:val="00170FF5"/>
    <w:rsid w:val="00171D64"/>
    <w:rsid w:val="00180019"/>
    <w:rsid w:val="00180581"/>
    <w:rsid w:val="00182801"/>
    <w:rsid w:val="00184B62"/>
    <w:rsid w:val="00186F81"/>
    <w:rsid w:val="00187F2B"/>
    <w:rsid w:val="00187FCE"/>
    <w:rsid w:val="0019546F"/>
    <w:rsid w:val="001957AB"/>
    <w:rsid w:val="001A2B41"/>
    <w:rsid w:val="001A6E73"/>
    <w:rsid w:val="001B1E47"/>
    <w:rsid w:val="001B2306"/>
    <w:rsid w:val="001B23A3"/>
    <w:rsid w:val="001B5C6D"/>
    <w:rsid w:val="001B66FF"/>
    <w:rsid w:val="001C12CA"/>
    <w:rsid w:val="001C362B"/>
    <w:rsid w:val="001C4ADA"/>
    <w:rsid w:val="001C6AF5"/>
    <w:rsid w:val="001D17C6"/>
    <w:rsid w:val="001D229D"/>
    <w:rsid w:val="001D4352"/>
    <w:rsid w:val="001D4C4C"/>
    <w:rsid w:val="001D7828"/>
    <w:rsid w:val="001D7C1A"/>
    <w:rsid w:val="001E5787"/>
    <w:rsid w:val="001E74BE"/>
    <w:rsid w:val="001F0449"/>
    <w:rsid w:val="001F07DE"/>
    <w:rsid w:val="001F1E64"/>
    <w:rsid w:val="001F4271"/>
    <w:rsid w:val="001F4934"/>
    <w:rsid w:val="001F7E11"/>
    <w:rsid w:val="002036D9"/>
    <w:rsid w:val="00205612"/>
    <w:rsid w:val="00207497"/>
    <w:rsid w:val="00207BCD"/>
    <w:rsid w:val="00210642"/>
    <w:rsid w:val="002128F7"/>
    <w:rsid w:val="0021464A"/>
    <w:rsid w:val="002162F5"/>
    <w:rsid w:val="002169CD"/>
    <w:rsid w:val="00216BC5"/>
    <w:rsid w:val="00220B08"/>
    <w:rsid w:val="002239CD"/>
    <w:rsid w:val="002243EF"/>
    <w:rsid w:val="00224722"/>
    <w:rsid w:val="00226EBB"/>
    <w:rsid w:val="00227266"/>
    <w:rsid w:val="002320E2"/>
    <w:rsid w:val="00233DF9"/>
    <w:rsid w:val="00243B80"/>
    <w:rsid w:val="00243E5C"/>
    <w:rsid w:val="002449DB"/>
    <w:rsid w:val="00245627"/>
    <w:rsid w:val="00252554"/>
    <w:rsid w:val="0026276B"/>
    <w:rsid w:val="00267981"/>
    <w:rsid w:val="00270FAA"/>
    <w:rsid w:val="00275B7D"/>
    <w:rsid w:val="00275BD4"/>
    <w:rsid w:val="00282343"/>
    <w:rsid w:val="002836D4"/>
    <w:rsid w:val="0029444D"/>
    <w:rsid w:val="002975F5"/>
    <w:rsid w:val="00297BA1"/>
    <w:rsid w:val="002A09DA"/>
    <w:rsid w:val="002A29A6"/>
    <w:rsid w:val="002A34B8"/>
    <w:rsid w:val="002A7C27"/>
    <w:rsid w:val="002B0206"/>
    <w:rsid w:val="002B3F94"/>
    <w:rsid w:val="002B7FF0"/>
    <w:rsid w:val="002C0D3A"/>
    <w:rsid w:val="002C327B"/>
    <w:rsid w:val="002C34F7"/>
    <w:rsid w:val="002C71C6"/>
    <w:rsid w:val="002D1036"/>
    <w:rsid w:val="002D42DE"/>
    <w:rsid w:val="002D4AB4"/>
    <w:rsid w:val="002D60B6"/>
    <w:rsid w:val="002D6299"/>
    <w:rsid w:val="002E046F"/>
    <w:rsid w:val="002E1259"/>
    <w:rsid w:val="002E2F8A"/>
    <w:rsid w:val="002E4306"/>
    <w:rsid w:val="002E4941"/>
    <w:rsid w:val="002F48F7"/>
    <w:rsid w:val="002F5B89"/>
    <w:rsid w:val="002F72F4"/>
    <w:rsid w:val="002F73B2"/>
    <w:rsid w:val="002F7AB0"/>
    <w:rsid w:val="0030345C"/>
    <w:rsid w:val="00305037"/>
    <w:rsid w:val="00312DA0"/>
    <w:rsid w:val="00313CB3"/>
    <w:rsid w:val="003150B0"/>
    <w:rsid w:val="00316665"/>
    <w:rsid w:val="003218F8"/>
    <w:rsid w:val="00325840"/>
    <w:rsid w:val="00326E2D"/>
    <w:rsid w:val="00340D44"/>
    <w:rsid w:val="0034206C"/>
    <w:rsid w:val="00344771"/>
    <w:rsid w:val="0034780E"/>
    <w:rsid w:val="0035327F"/>
    <w:rsid w:val="00361CE3"/>
    <w:rsid w:val="0036318C"/>
    <w:rsid w:val="003656DB"/>
    <w:rsid w:val="003762E3"/>
    <w:rsid w:val="003807BA"/>
    <w:rsid w:val="0038396D"/>
    <w:rsid w:val="0038471E"/>
    <w:rsid w:val="00395BB6"/>
    <w:rsid w:val="00396172"/>
    <w:rsid w:val="003A48E6"/>
    <w:rsid w:val="003A4D80"/>
    <w:rsid w:val="003A67A5"/>
    <w:rsid w:val="003A7229"/>
    <w:rsid w:val="003B10D5"/>
    <w:rsid w:val="003B1399"/>
    <w:rsid w:val="003B3497"/>
    <w:rsid w:val="003B38F1"/>
    <w:rsid w:val="003B560C"/>
    <w:rsid w:val="003B5F57"/>
    <w:rsid w:val="003B6145"/>
    <w:rsid w:val="003B6B52"/>
    <w:rsid w:val="003C0F03"/>
    <w:rsid w:val="003C2FE7"/>
    <w:rsid w:val="003C49A6"/>
    <w:rsid w:val="003D14B9"/>
    <w:rsid w:val="003D4530"/>
    <w:rsid w:val="003D4D2B"/>
    <w:rsid w:val="003D5134"/>
    <w:rsid w:val="003D69F7"/>
    <w:rsid w:val="003E0587"/>
    <w:rsid w:val="003E2A9D"/>
    <w:rsid w:val="003E2AA1"/>
    <w:rsid w:val="003E2FD2"/>
    <w:rsid w:val="003E364E"/>
    <w:rsid w:val="003E3C62"/>
    <w:rsid w:val="003E5393"/>
    <w:rsid w:val="003E784D"/>
    <w:rsid w:val="003F0F3C"/>
    <w:rsid w:val="003F2D90"/>
    <w:rsid w:val="003F35A3"/>
    <w:rsid w:val="003F6C9D"/>
    <w:rsid w:val="003F7F9F"/>
    <w:rsid w:val="00400BED"/>
    <w:rsid w:val="0040178B"/>
    <w:rsid w:val="00401A00"/>
    <w:rsid w:val="00401A0D"/>
    <w:rsid w:val="00402807"/>
    <w:rsid w:val="00403157"/>
    <w:rsid w:val="004042DD"/>
    <w:rsid w:val="00405C52"/>
    <w:rsid w:val="0040692C"/>
    <w:rsid w:val="00407B8C"/>
    <w:rsid w:val="00410CBC"/>
    <w:rsid w:val="0041267C"/>
    <w:rsid w:val="00416FBF"/>
    <w:rsid w:val="004178A7"/>
    <w:rsid w:val="004208E1"/>
    <w:rsid w:val="00422C12"/>
    <w:rsid w:val="004241DB"/>
    <w:rsid w:val="004277C1"/>
    <w:rsid w:val="00427F78"/>
    <w:rsid w:val="0043271A"/>
    <w:rsid w:val="0043329A"/>
    <w:rsid w:val="00433E1E"/>
    <w:rsid w:val="004357AB"/>
    <w:rsid w:val="004422CB"/>
    <w:rsid w:val="004422E4"/>
    <w:rsid w:val="00445346"/>
    <w:rsid w:val="00451CE5"/>
    <w:rsid w:val="00455066"/>
    <w:rsid w:val="00455425"/>
    <w:rsid w:val="00457694"/>
    <w:rsid w:val="004608CD"/>
    <w:rsid w:val="00460A7D"/>
    <w:rsid w:val="0046311C"/>
    <w:rsid w:val="00463FA8"/>
    <w:rsid w:val="00466D5F"/>
    <w:rsid w:val="0046733D"/>
    <w:rsid w:val="0047088A"/>
    <w:rsid w:val="004726EB"/>
    <w:rsid w:val="00476F8B"/>
    <w:rsid w:val="00483C08"/>
    <w:rsid w:val="00487444"/>
    <w:rsid w:val="004906BE"/>
    <w:rsid w:val="00492E98"/>
    <w:rsid w:val="00493A1C"/>
    <w:rsid w:val="00494C98"/>
    <w:rsid w:val="004961E2"/>
    <w:rsid w:val="0049689F"/>
    <w:rsid w:val="004A0247"/>
    <w:rsid w:val="004A2987"/>
    <w:rsid w:val="004A3771"/>
    <w:rsid w:val="004A3F46"/>
    <w:rsid w:val="004A5FAE"/>
    <w:rsid w:val="004B21B8"/>
    <w:rsid w:val="004B42DD"/>
    <w:rsid w:val="004B6EA1"/>
    <w:rsid w:val="004C1634"/>
    <w:rsid w:val="004C2028"/>
    <w:rsid w:val="004C2F7E"/>
    <w:rsid w:val="004C46C0"/>
    <w:rsid w:val="004C691E"/>
    <w:rsid w:val="004C73EF"/>
    <w:rsid w:val="004D04CB"/>
    <w:rsid w:val="004D343C"/>
    <w:rsid w:val="004D39D6"/>
    <w:rsid w:val="004D5234"/>
    <w:rsid w:val="004E047D"/>
    <w:rsid w:val="004E4865"/>
    <w:rsid w:val="004E4EA1"/>
    <w:rsid w:val="004E7E55"/>
    <w:rsid w:val="004F002C"/>
    <w:rsid w:val="004F5297"/>
    <w:rsid w:val="004F7657"/>
    <w:rsid w:val="005001AD"/>
    <w:rsid w:val="005010C8"/>
    <w:rsid w:val="005034B0"/>
    <w:rsid w:val="0050363B"/>
    <w:rsid w:val="005046BC"/>
    <w:rsid w:val="005057F1"/>
    <w:rsid w:val="005125EE"/>
    <w:rsid w:val="00515CC5"/>
    <w:rsid w:val="00515FCA"/>
    <w:rsid w:val="005169C1"/>
    <w:rsid w:val="0052009C"/>
    <w:rsid w:val="00520285"/>
    <w:rsid w:val="005215FE"/>
    <w:rsid w:val="00522478"/>
    <w:rsid w:val="005228A7"/>
    <w:rsid w:val="00525374"/>
    <w:rsid w:val="00526198"/>
    <w:rsid w:val="0053154A"/>
    <w:rsid w:val="00531556"/>
    <w:rsid w:val="00532144"/>
    <w:rsid w:val="00532EB4"/>
    <w:rsid w:val="00534531"/>
    <w:rsid w:val="005367BF"/>
    <w:rsid w:val="00542478"/>
    <w:rsid w:val="00545345"/>
    <w:rsid w:val="005458AB"/>
    <w:rsid w:val="005469F1"/>
    <w:rsid w:val="005512BA"/>
    <w:rsid w:val="00552643"/>
    <w:rsid w:val="00552A0B"/>
    <w:rsid w:val="005542AE"/>
    <w:rsid w:val="005560BD"/>
    <w:rsid w:val="00556884"/>
    <w:rsid w:val="00557E1B"/>
    <w:rsid w:val="00560D67"/>
    <w:rsid w:val="00560E34"/>
    <w:rsid w:val="0056161D"/>
    <w:rsid w:val="0056185D"/>
    <w:rsid w:val="00563EC3"/>
    <w:rsid w:val="00571A01"/>
    <w:rsid w:val="005725D9"/>
    <w:rsid w:val="00573CA9"/>
    <w:rsid w:val="00576127"/>
    <w:rsid w:val="00582AB9"/>
    <w:rsid w:val="005830FA"/>
    <w:rsid w:val="005838CB"/>
    <w:rsid w:val="00585F96"/>
    <w:rsid w:val="00587B75"/>
    <w:rsid w:val="005915E9"/>
    <w:rsid w:val="00593947"/>
    <w:rsid w:val="00593BDA"/>
    <w:rsid w:val="005A14FD"/>
    <w:rsid w:val="005A4098"/>
    <w:rsid w:val="005B1C9F"/>
    <w:rsid w:val="005B2174"/>
    <w:rsid w:val="005C152A"/>
    <w:rsid w:val="005C2B36"/>
    <w:rsid w:val="005C2FA7"/>
    <w:rsid w:val="005C5154"/>
    <w:rsid w:val="005D1B31"/>
    <w:rsid w:val="005D7A32"/>
    <w:rsid w:val="005E0EB8"/>
    <w:rsid w:val="005E1105"/>
    <w:rsid w:val="005E64D3"/>
    <w:rsid w:val="005E743B"/>
    <w:rsid w:val="005E74E9"/>
    <w:rsid w:val="005F0D70"/>
    <w:rsid w:val="005F4A4E"/>
    <w:rsid w:val="005F4E02"/>
    <w:rsid w:val="0060077B"/>
    <w:rsid w:val="00601A53"/>
    <w:rsid w:val="006027F8"/>
    <w:rsid w:val="0060490E"/>
    <w:rsid w:val="00605A92"/>
    <w:rsid w:val="00605DA1"/>
    <w:rsid w:val="0060799D"/>
    <w:rsid w:val="006107AA"/>
    <w:rsid w:val="00610C14"/>
    <w:rsid w:val="00611F09"/>
    <w:rsid w:val="006135AF"/>
    <w:rsid w:val="00613F60"/>
    <w:rsid w:val="00613FAA"/>
    <w:rsid w:val="00613FF7"/>
    <w:rsid w:val="00616F5C"/>
    <w:rsid w:val="00625D62"/>
    <w:rsid w:val="0063191C"/>
    <w:rsid w:val="00631E62"/>
    <w:rsid w:val="0063535E"/>
    <w:rsid w:val="00637BC5"/>
    <w:rsid w:val="00641575"/>
    <w:rsid w:val="006460AC"/>
    <w:rsid w:val="00652CBB"/>
    <w:rsid w:val="00655554"/>
    <w:rsid w:val="0065611D"/>
    <w:rsid w:val="0065684D"/>
    <w:rsid w:val="00657462"/>
    <w:rsid w:val="00662E85"/>
    <w:rsid w:val="00665035"/>
    <w:rsid w:val="00665781"/>
    <w:rsid w:val="006668F6"/>
    <w:rsid w:val="00666EA2"/>
    <w:rsid w:val="00671AC8"/>
    <w:rsid w:val="0067260E"/>
    <w:rsid w:val="00676979"/>
    <w:rsid w:val="00683581"/>
    <w:rsid w:val="0068380D"/>
    <w:rsid w:val="006856C0"/>
    <w:rsid w:val="006857F9"/>
    <w:rsid w:val="00685CBD"/>
    <w:rsid w:val="006877E6"/>
    <w:rsid w:val="0069077A"/>
    <w:rsid w:val="00693E3C"/>
    <w:rsid w:val="006A17E9"/>
    <w:rsid w:val="006A2EA6"/>
    <w:rsid w:val="006B3333"/>
    <w:rsid w:val="006B54E6"/>
    <w:rsid w:val="006C01D0"/>
    <w:rsid w:val="006C31CC"/>
    <w:rsid w:val="006C3492"/>
    <w:rsid w:val="006C4F31"/>
    <w:rsid w:val="006C647D"/>
    <w:rsid w:val="006D01EC"/>
    <w:rsid w:val="006D18F0"/>
    <w:rsid w:val="006D3F8D"/>
    <w:rsid w:val="006E0784"/>
    <w:rsid w:val="006E148F"/>
    <w:rsid w:val="006E3349"/>
    <w:rsid w:val="006E334F"/>
    <w:rsid w:val="006F13BD"/>
    <w:rsid w:val="006F32F8"/>
    <w:rsid w:val="006F5106"/>
    <w:rsid w:val="006F5931"/>
    <w:rsid w:val="00701573"/>
    <w:rsid w:val="007028EE"/>
    <w:rsid w:val="00703979"/>
    <w:rsid w:val="00706BA0"/>
    <w:rsid w:val="00714120"/>
    <w:rsid w:val="0071629F"/>
    <w:rsid w:val="00717FFD"/>
    <w:rsid w:val="00720AF9"/>
    <w:rsid w:val="00723245"/>
    <w:rsid w:val="00734AD8"/>
    <w:rsid w:val="00737F49"/>
    <w:rsid w:val="007411BA"/>
    <w:rsid w:val="007418AC"/>
    <w:rsid w:val="00741DED"/>
    <w:rsid w:val="00742EE5"/>
    <w:rsid w:val="00744A41"/>
    <w:rsid w:val="00750913"/>
    <w:rsid w:val="007556FD"/>
    <w:rsid w:val="00764B8C"/>
    <w:rsid w:val="00771787"/>
    <w:rsid w:val="00773698"/>
    <w:rsid w:val="007738AB"/>
    <w:rsid w:val="007754D8"/>
    <w:rsid w:val="007755CF"/>
    <w:rsid w:val="0078235A"/>
    <w:rsid w:val="007844A0"/>
    <w:rsid w:val="00784AC9"/>
    <w:rsid w:val="00785A3F"/>
    <w:rsid w:val="0079031A"/>
    <w:rsid w:val="0079075E"/>
    <w:rsid w:val="0079140D"/>
    <w:rsid w:val="0079659C"/>
    <w:rsid w:val="00797F99"/>
    <w:rsid w:val="007A09EA"/>
    <w:rsid w:val="007A17BF"/>
    <w:rsid w:val="007A577B"/>
    <w:rsid w:val="007B0C8B"/>
    <w:rsid w:val="007B4CCD"/>
    <w:rsid w:val="007B7DD8"/>
    <w:rsid w:val="007D0678"/>
    <w:rsid w:val="007D3303"/>
    <w:rsid w:val="007D334B"/>
    <w:rsid w:val="007D3B55"/>
    <w:rsid w:val="007D46A6"/>
    <w:rsid w:val="007D4B01"/>
    <w:rsid w:val="007D5693"/>
    <w:rsid w:val="007E0B85"/>
    <w:rsid w:val="007E1588"/>
    <w:rsid w:val="007E4F18"/>
    <w:rsid w:val="007E7250"/>
    <w:rsid w:val="0080537E"/>
    <w:rsid w:val="008128D7"/>
    <w:rsid w:val="008222A6"/>
    <w:rsid w:val="00825C9D"/>
    <w:rsid w:val="00826B6A"/>
    <w:rsid w:val="008277FD"/>
    <w:rsid w:val="00830910"/>
    <w:rsid w:val="00831E84"/>
    <w:rsid w:val="008335BA"/>
    <w:rsid w:val="008455B3"/>
    <w:rsid w:val="008478BA"/>
    <w:rsid w:val="008501B1"/>
    <w:rsid w:val="00851446"/>
    <w:rsid w:val="00852B40"/>
    <w:rsid w:val="00852E63"/>
    <w:rsid w:val="0085343C"/>
    <w:rsid w:val="00861489"/>
    <w:rsid w:val="00861740"/>
    <w:rsid w:val="008642A8"/>
    <w:rsid w:val="008642AA"/>
    <w:rsid w:val="0086480D"/>
    <w:rsid w:val="0086573A"/>
    <w:rsid w:val="008667F6"/>
    <w:rsid w:val="00866A3F"/>
    <w:rsid w:val="0087196A"/>
    <w:rsid w:val="00872B25"/>
    <w:rsid w:val="008753C3"/>
    <w:rsid w:val="008766F3"/>
    <w:rsid w:val="00876778"/>
    <w:rsid w:val="00876A87"/>
    <w:rsid w:val="0088464C"/>
    <w:rsid w:val="00890E81"/>
    <w:rsid w:val="0089261B"/>
    <w:rsid w:val="00895B54"/>
    <w:rsid w:val="008A0A36"/>
    <w:rsid w:val="008A69FC"/>
    <w:rsid w:val="008A7763"/>
    <w:rsid w:val="008B1ABB"/>
    <w:rsid w:val="008B2CA2"/>
    <w:rsid w:val="008C13B1"/>
    <w:rsid w:val="008D5992"/>
    <w:rsid w:val="008E3BBD"/>
    <w:rsid w:val="008F0501"/>
    <w:rsid w:val="008F35BC"/>
    <w:rsid w:val="008F6D4D"/>
    <w:rsid w:val="00901395"/>
    <w:rsid w:val="00903A57"/>
    <w:rsid w:val="00905FA9"/>
    <w:rsid w:val="0091108E"/>
    <w:rsid w:val="00912D0B"/>
    <w:rsid w:val="00913FB4"/>
    <w:rsid w:val="009162FC"/>
    <w:rsid w:val="009173B8"/>
    <w:rsid w:val="00917806"/>
    <w:rsid w:val="009200D6"/>
    <w:rsid w:val="0092440C"/>
    <w:rsid w:val="0092523C"/>
    <w:rsid w:val="00930C10"/>
    <w:rsid w:val="00936155"/>
    <w:rsid w:val="00941944"/>
    <w:rsid w:val="00942E12"/>
    <w:rsid w:val="009477FA"/>
    <w:rsid w:val="00950294"/>
    <w:rsid w:val="00952F02"/>
    <w:rsid w:val="00954ADF"/>
    <w:rsid w:val="009602FD"/>
    <w:rsid w:val="0096244B"/>
    <w:rsid w:val="00962748"/>
    <w:rsid w:val="0096281D"/>
    <w:rsid w:val="00964F3F"/>
    <w:rsid w:val="00970579"/>
    <w:rsid w:val="00970A25"/>
    <w:rsid w:val="00973011"/>
    <w:rsid w:val="00981154"/>
    <w:rsid w:val="00981E17"/>
    <w:rsid w:val="00981E94"/>
    <w:rsid w:val="009844EA"/>
    <w:rsid w:val="009848A1"/>
    <w:rsid w:val="009853DD"/>
    <w:rsid w:val="00993A5E"/>
    <w:rsid w:val="00996D8D"/>
    <w:rsid w:val="00996F68"/>
    <w:rsid w:val="009A617D"/>
    <w:rsid w:val="009A6A4C"/>
    <w:rsid w:val="009A78C4"/>
    <w:rsid w:val="009A7E6A"/>
    <w:rsid w:val="009B2B9A"/>
    <w:rsid w:val="009B3512"/>
    <w:rsid w:val="009B410B"/>
    <w:rsid w:val="009B57A2"/>
    <w:rsid w:val="009B648F"/>
    <w:rsid w:val="009B6888"/>
    <w:rsid w:val="009C190D"/>
    <w:rsid w:val="009D5FD9"/>
    <w:rsid w:val="009D6EFB"/>
    <w:rsid w:val="009E36E2"/>
    <w:rsid w:val="009E55A5"/>
    <w:rsid w:val="009E56FA"/>
    <w:rsid w:val="009F0346"/>
    <w:rsid w:val="009F2E31"/>
    <w:rsid w:val="009F4473"/>
    <w:rsid w:val="009F460B"/>
    <w:rsid w:val="009F7244"/>
    <w:rsid w:val="00A00290"/>
    <w:rsid w:val="00A10522"/>
    <w:rsid w:val="00A11342"/>
    <w:rsid w:val="00A20277"/>
    <w:rsid w:val="00A20BBC"/>
    <w:rsid w:val="00A212D8"/>
    <w:rsid w:val="00A233A8"/>
    <w:rsid w:val="00A25030"/>
    <w:rsid w:val="00A251BF"/>
    <w:rsid w:val="00A2795E"/>
    <w:rsid w:val="00A307C3"/>
    <w:rsid w:val="00A319D4"/>
    <w:rsid w:val="00A418F7"/>
    <w:rsid w:val="00A4668C"/>
    <w:rsid w:val="00A50EC5"/>
    <w:rsid w:val="00A5374D"/>
    <w:rsid w:val="00A576E9"/>
    <w:rsid w:val="00A615AE"/>
    <w:rsid w:val="00A62225"/>
    <w:rsid w:val="00A65306"/>
    <w:rsid w:val="00A67324"/>
    <w:rsid w:val="00A675FE"/>
    <w:rsid w:val="00A679D5"/>
    <w:rsid w:val="00A67D77"/>
    <w:rsid w:val="00A70631"/>
    <w:rsid w:val="00A71F33"/>
    <w:rsid w:val="00A767C5"/>
    <w:rsid w:val="00A76D70"/>
    <w:rsid w:val="00A76DB5"/>
    <w:rsid w:val="00A82857"/>
    <w:rsid w:val="00A8430D"/>
    <w:rsid w:val="00A86233"/>
    <w:rsid w:val="00A9048B"/>
    <w:rsid w:val="00A905D6"/>
    <w:rsid w:val="00A930CD"/>
    <w:rsid w:val="00A9320B"/>
    <w:rsid w:val="00A9638D"/>
    <w:rsid w:val="00AA3BF1"/>
    <w:rsid w:val="00AA5744"/>
    <w:rsid w:val="00AA6018"/>
    <w:rsid w:val="00AB41A5"/>
    <w:rsid w:val="00AC0ECE"/>
    <w:rsid w:val="00AC4F1B"/>
    <w:rsid w:val="00AC5E09"/>
    <w:rsid w:val="00AC7C94"/>
    <w:rsid w:val="00AD12A2"/>
    <w:rsid w:val="00AD260D"/>
    <w:rsid w:val="00AD3586"/>
    <w:rsid w:val="00AD4887"/>
    <w:rsid w:val="00AD6C2F"/>
    <w:rsid w:val="00AD7999"/>
    <w:rsid w:val="00AE0140"/>
    <w:rsid w:val="00AE3BDC"/>
    <w:rsid w:val="00AE5514"/>
    <w:rsid w:val="00AF2A33"/>
    <w:rsid w:val="00AF40E6"/>
    <w:rsid w:val="00AF7154"/>
    <w:rsid w:val="00B01413"/>
    <w:rsid w:val="00B014C6"/>
    <w:rsid w:val="00B0216A"/>
    <w:rsid w:val="00B04591"/>
    <w:rsid w:val="00B04A0A"/>
    <w:rsid w:val="00B07590"/>
    <w:rsid w:val="00B10754"/>
    <w:rsid w:val="00B14807"/>
    <w:rsid w:val="00B220DE"/>
    <w:rsid w:val="00B306B5"/>
    <w:rsid w:val="00B337F3"/>
    <w:rsid w:val="00B348CF"/>
    <w:rsid w:val="00B401E4"/>
    <w:rsid w:val="00B4095C"/>
    <w:rsid w:val="00B40989"/>
    <w:rsid w:val="00B40C1A"/>
    <w:rsid w:val="00B4151D"/>
    <w:rsid w:val="00B44773"/>
    <w:rsid w:val="00B46C89"/>
    <w:rsid w:val="00B50DB5"/>
    <w:rsid w:val="00B510F7"/>
    <w:rsid w:val="00B532C1"/>
    <w:rsid w:val="00B60814"/>
    <w:rsid w:val="00B60D93"/>
    <w:rsid w:val="00B61E68"/>
    <w:rsid w:val="00B650A8"/>
    <w:rsid w:val="00B65BCE"/>
    <w:rsid w:val="00B673F4"/>
    <w:rsid w:val="00B728A7"/>
    <w:rsid w:val="00B74D5F"/>
    <w:rsid w:val="00B75EB5"/>
    <w:rsid w:val="00B76476"/>
    <w:rsid w:val="00B77B00"/>
    <w:rsid w:val="00B8338B"/>
    <w:rsid w:val="00B86AE2"/>
    <w:rsid w:val="00B91140"/>
    <w:rsid w:val="00B917CA"/>
    <w:rsid w:val="00B92FF8"/>
    <w:rsid w:val="00BA1DB9"/>
    <w:rsid w:val="00BA2427"/>
    <w:rsid w:val="00BA3BC1"/>
    <w:rsid w:val="00BA3CC7"/>
    <w:rsid w:val="00BA5322"/>
    <w:rsid w:val="00BB1342"/>
    <w:rsid w:val="00BB6EA4"/>
    <w:rsid w:val="00BC1AA1"/>
    <w:rsid w:val="00BC1D41"/>
    <w:rsid w:val="00BC2E8E"/>
    <w:rsid w:val="00BD0BA2"/>
    <w:rsid w:val="00BD0F66"/>
    <w:rsid w:val="00BD647B"/>
    <w:rsid w:val="00BE5A8A"/>
    <w:rsid w:val="00BE6BDF"/>
    <w:rsid w:val="00BF006F"/>
    <w:rsid w:val="00BF1835"/>
    <w:rsid w:val="00BF30B2"/>
    <w:rsid w:val="00BF3211"/>
    <w:rsid w:val="00BF419F"/>
    <w:rsid w:val="00C0325B"/>
    <w:rsid w:val="00C07756"/>
    <w:rsid w:val="00C1286C"/>
    <w:rsid w:val="00C12C3C"/>
    <w:rsid w:val="00C13235"/>
    <w:rsid w:val="00C1548A"/>
    <w:rsid w:val="00C21D6A"/>
    <w:rsid w:val="00C24425"/>
    <w:rsid w:val="00C33BD4"/>
    <w:rsid w:val="00C34291"/>
    <w:rsid w:val="00C368F7"/>
    <w:rsid w:val="00C376B6"/>
    <w:rsid w:val="00C40A3D"/>
    <w:rsid w:val="00C41DB3"/>
    <w:rsid w:val="00C44A96"/>
    <w:rsid w:val="00C46B91"/>
    <w:rsid w:val="00C472C9"/>
    <w:rsid w:val="00C5020B"/>
    <w:rsid w:val="00C50BB6"/>
    <w:rsid w:val="00C515DE"/>
    <w:rsid w:val="00C561FA"/>
    <w:rsid w:val="00C576F9"/>
    <w:rsid w:val="00C605BD"/>
    <w:rsid w:val="00C60A70"/>
    <w:rsid w:val="00C61528"/>
    <w:rsid w:val="00C64F74"/>
    <w:rsid w:val="00C71D5C"/>
    <w:rsid w:val="00C7602F"/>
    <w:rsid w:val="00C76848"/>
    <w:rsid w:val="00C77088"/>
    <w:rsid w:val="00C83C52"/>
    <w:rsid w:val="00C8732A"/>
    <w:rsid w:val="00C8765E"/>
    <w:rsid w:val="00C91409"/>
    <w:rsid w:val="00C931CE"/>
    <w:rsid w:val="00C94E1E"/>
    <w:rsid w:val="00C95FEA"/>
    <w:rsid w:val="00CA2834"/>
    <w:rsid w:val="00CA32AA"/>
    <w:rsid w:val="00CA3FCB"/>
    <w:rsid w:val="00CA4838"/>
    <w:rsid w:val="00CA6CE0"/>
    <w:rsid w:val="00CB0E76"/>
    <w:rsid w:val="00CB0F7B"/>
    <w:rsid w:val="00CB4815"/>
    <w:rsid w:val="00CB4DB8"/>
    <w:rsid w:val="00CC0360"/>
    <w:rsid w:val="00CC0FB4"/>
    <w:rsid w:val="00CC11CF"/>
    <w:rsid w:val="00CC3676"/>
    <w:rsid w:val="00CC55B9"/>
    <w:rsid w:val="00CC7715"/>
    <w:rsid w:val="00CD01F0"/>
    <w:rsid w:val="00CD4EC0"/>
    <w:rsid w:val="00CE041B"/>
    <w:rsid w:val="00CE497A"/>
    <w:rsid w:val="00CE63D1"/>
    <w:rsid w:val="00CE691B"/>
    <w:rsid w:val="00CF0D1F"/>
    <w:rsid w:val="00CF1403"/>
    <w:rsid w:val="00CF46E8"/>
    <w:rsid w:val="00CF5D89"/>
    <w:rsid w:val="00D01785"/>
    <w:rsid w:val="00D023B0"/>
    <w:rsid w:val="00D0381A"/>
    <w:rsid w:val="00D052CB"/>
    <w:rsid w:val="00D0552C"/>
    <w:rsid w:val="00D05C88"/>
    <w:rsid w:val="00D05EA5"/>
    <w:rsid w:val="00D06FEA"/>
    <w:rsid w:val="00D111B6"/>
    <w:rsid w:val="00D11692"/>
    <w:rsid w:val="00D12D8B"/>
    <w:rsid w:val="00D13E52"/>
    <w:rsid w:val="00D14387"/>
    <w:rsid w:val="00D1459A"/>
    <w:rsid w:val="00D1617A"/>
    <w:rsid w:val="00D16787"/>
    <w:rsid w:val="00D20AC2"/>
    <w:rsid w:val="00D22D42"/>
    <w:rsid w:val="00D23F3E"/>
    <w:rsid w:val="00D24C59"/>
    <w:rsid w:val="00D25A20"/>
    <w:rsid w:val="00D33393"/>
    <w:rsid w:val="00D33515"/>
    <w:rsid w:val="00D34735"/>
    <w:rsid w:val="00D4119A"/>
    <w:rsid w:val="00D46A70"/>
    <w:rsid w:val="00D51036"/>
    <w:rsid w:val="00D5149C"/>
    <w:rsid w:val="00D540B9"/>
    <w:rsid w:val="00D55413"/>
    <w:rsid w:val="00D64408"/>
    <w:rsid w:val="00D723BF"/>
    <w:rsid w:val="00D725F6"/>
    <w:rsid w:val="00D73149"/>
    <w:rsid w:val="00D761F3"/>
    <w:rsid w:val="00D77059"/>
    <w:rsid w:val="00D77B2E"/>
    <w:rsid w:val="00D84309"/>
    <w:rsid w:val="00D845B4"/>
    <w:rsid w:val="00D90BF3"/>
    <w:rsid w:val="00D90ECF"/>
    <w:rsid w:val="00D91D30"/>
    <w:rsid w:val="00D97FEC"/>
    <w:rsid w:val="00DA5D9B"/>
    <w:rsid w:val="00DA7B5E"/>
    <w:rsid w:val="00DB14A1"/>
    <w:rsid w:val="00DB51BD"/>
    <w:rsid w:val="00DB5339"/>
    <w:rsid w:val="00DB60E6"/>
    <w:rsid w:val="00DC1D1D"/>
    <w:rsid w:val="00DC466A"/>
    <w:rsid w:val="00DD3AA1"/>
    <w:rsid w:val="00DD58F2"/>
    <w:rsid w:val="00DD789F"/>
    <w:rsid w:val="00DE1526"/>
    <w:rsid w:val="00DE15B7"/>
    <w:rsid w:val="00DE3337"/>
    <w:rsid w:val="00DE385F"/>
    <w:rsid w:val="00DE5452"/>
    <w:rsid w:val="00DF0445"/>
    <w:rsid w:val="00DF135F"/>
    <w:rsid w:val="00DF160F"/>
    <w:rsid w:val="00DF32B2"/>
    <w:rsid w:val="00DF5994"/>
    <w:rsid w:val="00DF63DC"/>
    <w:rsid w:val="00DF7417"/>
    <w:rsid w:val="00DF782A"/>
    <w:rsid w:val="00E0064A"/>
    <w:rsid w:val="00E0448F"/>
    <w:rsid w:val="00E04DCC"/>
    <w:rsid w:val="00E07A5F"/>
    <w:rsid w:val="00E127B6"/>
    <w:rsid w:val="00E13D36"/>
    <w:rsid w:val="00E15E75"/>
    <w:rsid w:val="00E16F1D"/>
    <w:rsid w:val="00E211C6"/>
    <w:rsid w:val="00E226CD"/>
    <w:rsid w:val="00E22759"/>
    <w:rsid w:val="00E2611A"/>
    <w:rsid w:val="00E272CF"/>
    <w:rsid w:val="00E27351"/>
    <w:rsid w:val="00E313EE"/>
    <w:rsid w:val="00E34192"/>
    <w:rsid w:val="00E3538F"/>
    <w:rsid w:val="00E377AE"/>
    <w:rsid w:val="00E40642"/>
    <w:rsid w:val="00E41FE7"/>
    <w:rsid w:val="00E446B2"/>
    <w:rsid w:val="00E44AA2"/>
    <w:rsid w:val="00E44CE9"/>
    <w:rsid w:val="00E46015"/>
    <w:rsid w:val="00E47F96"/>
    <w:rsid w:val="00E5383A"/>
    <w:rsid w:val="00E60358"/>
    <w:rsid w:val="00E6088D"/>
    <w:rsid w:val="00E61F00"/>
    <w:rsid w:val="00E64A79"/>
    <w:rsid w:val="00E6770F"/>
    <w:rsid w:val="00E67A25"/>
    <w:rsid w:val="00E736ED"/>
    <w:rsid w:val="00E7580A"/>
    <w:rsid w:val="00E80807"/>
    <w:rsid w:val="00E81750"/>
    <w:rsid w:val="00E83BFF"/>
    <w:rsid w:val="00E83CF0"/>
    <w:rsid w:val="00E844E6"/>
    <w:rsid w:val="00E90157"/>
    <w:rsid w:val="00E908B6"/>
    <w:rsid w:val="00E939D2"/>
    <w:rsid w:val="00E94FB3"/>
    <w:rsid w:val="00E9534E"/>
    <w:rsid w:val="00E96500"/>
    <w:rsid w:val="00EA0122"/>
    <w:rsid w:val="00EA114D"/>
    <w:rsid w:val="00EA3962"/>
    <w:rsid w:val="00EA7565"/>
    <w:rsid w:val="00EA77A0"/>
    <w:rsid w:val="00EB06C4"/>
    <w:rsid w:val="00EB10DA"/>
    <w:rsid w:val="00EB27BF"/>
    <w:rsid w:val="00EB4464"/>
    <w:rsid w:val="00EC4A05"/>
    <w:rsid w:val="00EC58D7"/>
    <w:rsid w:val="00EC75E2"/>
    <w:rsid w:val="00ED4651"/>
    <w:rsid w:val="00ED5313"/>
    <w:rsid w:val="00ED5A1F"/>
    <w:rsid w:val="00EE0BFD"/>
    <w:rsid w:val="00EE29A1"/>
    <w:rsid w:val="00EE3736"/>
    <w:rsid w:val="00EE5357"/>
    <w:rsid w:val="00EE5B13"/>
    <w:rsid w:val="00EF036B"/>
    <w:rsid w:val="00EF09AD"/>
    <w:rsid w:val="00EF4E01"/>
    <w:rsid w:val="00EF6E01"/>
    <w:rsid w:val="00EF7BE3"/>
    <w:rsid w:val="00F025D9"/>
    <w:rsid w:val="00F038C7"/>
    <w:rsid w:val="00F03FAA"/>
    <w:rsid w:val="00F049EF"/>
    <w:rsid w:val="00F069FF"/>
    <w:rsid w:val="00F07372"/>
    <w:rsid w:val="00F11589"/>
    <w:rsid w:val="00F11C91"/>
    <w:rsid w:val="00F12DB4"/>
    <w:rsid w:val="00F14556"/>
    <w:rsid w:val="00F14C07"/>
    <w:rsid w:val="00F156D5"/>
    <w:rsid w:val="00F16355"/>
    <w:rsid w:val="00F16B66"/>
    <w:rsid w:val="00F1793B"/>
    <w:rsid w:val="00F201A1"/>
    <w:rsid w:val="00F21257"/>
    <w:rsid w:val="00F245CA"/>
    <w:rsid w:val="00F2731E"/>
    <w:rsid w:val="00F276DA"/>
    <w:rsid w:val="00F27ADC"/>
    <w:rsid w:val="00F32809"/>
    <w:rsid w:val="00F34884"/>
    <w:rsid w:val="00F37178"/>
    <w:rsid w:val="00F40381"/>
    <w:rsid w:val="00F44ACF"/>
    <w:rsid w:val="00F47359"/>
    <w:rsid w:val="00F47D8C"/>
    <w:rsid w:val="00F506FA"/>
    <w:rsid w:val="00F51001"/>
    <w:rsid w:val="00F5218C"/>
    <w:rsid w:val="00F528E1"/>
    <w:rsid w:val="00F546B5"/>
    <w:rsid w:val="00F54F96"/>
    <w:rsid w:val="00F561B2"/>
    <w:rsid w:val="00F5683B"/>
    <w:rsid w:val="00F56F02"/>
    <w:rsid w:val="00F70D4B"/>
    <w:rsid w:val="00F70EC5"/>
    <w:rsid w:val="00F76538"/>
    <w:rsid w:val="00F80120"/>
    <w:rsid w:val="00F807EF"/>
    <w:rsid w:val="00F86806"/>
    <w:rsid w:val="00F90672"/>
    <w:rsid w:val="00F91E95"/>
    <w:rsid w:val="00F94C1F"/>
    <w:rsid w:val="00F95E83"/>
    <w:rsid w:val="00FA2680"/>
    <w:rsid w:val="00FA2FFE"/>
    <w:rsid w:val="00FB6F18"/>
    <w:rsid w:val="00FC01A9"/>
    <w:rsid w:val="00FC61EF"/>
    <w:rsid w:val="00FC6490"/>
    <w:rsid w:val="00FD0933"/>
    <w:rsid w:val="00FD111B"/>
    <w:rsid w:val="00FD122D"/>
    <w:rsid w:val="00FD26D7"/>
    <w:rsid w:val="00FD3471"/>
    <w:rsid w:val="00FE475B"/>
    <w:rsid w:val="00FE4EB8"/>
    <w:rsid w:val="00FE62EA"/>
    <w:rsid w:val="00FF3C7D"/>
    <w:rsid w:val="00FF40C0"/>
    <w:rsid w:val="00FF609D"/>
    <w:rsid w:val="00FF7915"/>
    <w:rsid w:val="03F0612B"/>
    <w:rsid w:val="07B103F0"/>
    <w:rsid w:val="0A4D5BF2"/>
    <w:rsid w:val="0C4C6E2A"/>
    <w:rsid w:val="0DBA5954"/>
    <w:rsid w:val="0E30366B"/>
    <w:rsid w:val="0FDC2E0E"/>
    <w:rsid w:val="10123A85"/>
    <w:rsid w:val="10151AD9"/>
    <w:rsid w:val="1174574F"/>
    <w:rsid w:val="119D1B48"/>
    <w:rsid w:val="11FC0E31"/>
    <w:rsid w:val="12B638D8"/>
    <w:rsid w:val="136BCC1E"/>
    <w:rsid w:val="13EF79E2"/>
    <w:rsid w:val="14AC4743"/>
    <w:rsid w:val="166D2691"/>
    <w:rsid w:val="168734C6"/>
    <w:rsid w:val="16B13168"/>
    <w:rsid w:val="18037A03"/>
    <w:rsid w:val="189F1214"/>
    <w:rsid w:val="1AB11972"/>
    <w:rsid w:val="1AED20D7"/>
    <w:rsid w:val="1B442788"/>
    <w:rsid w:val="1C4917D4"/>
    <w:rsid w:val="1C5167E0"/>
    <w:rsid w:val="1D11040E"/>
    <w:rsid w:val="1D3600A1"/>
    <w:rsid w:val="1D422B45"/>
    <w:rsid w:val="1DFFB6BA"/>
    <w:rsid w:val="1E71319C"/>
    <w:rsid w:val="207D55DA"/>
    <w:rsid w:val="243C1161"/>
    <w:rsid w:val="24D14B31"/>
    <w:rsid w:val="262D3BC1"/>
    <w:rsid w:val="262E07AF"/>
    <w:rsid w:val="268B7E03"/>
    <w:rsid w:val="26E12965"/>
    <w:rsid w:val="27760E0D"/>
    <w:rsid w:val="27AB0FCC"/>
    <w:rsid w:val="29526F17"/>
    <w:rsid w:val="29AE22F7"/>
    <w:rsid w:val="29B54204"/>
    <w:rsid w:val="2B741B5B"/>
    <w:rsid w:val="2BBC2B4A"/>
    <w:rsid w:val="2BBC6415"/>
    <w:rsid w:val="2BDF26B1"/>
    <w:rsid w:val="2C216A5C"/>
    <w:rsid w:val="2C6D6C34"/>
    <w:rsid w:val="2CAD6845"/>
    <w:rsid w:val="2CEF1C89"/>
    <w:rsid w:val="2DBC5BBC"/>
    <w:rsid w:val="2DBCA115"/>
    <w:rsid w:val="2E236F59"/>
    <w:rsid w:val="2FFD22A8"/>
    <w:rsid w:val="309F15CE"/>
    <w:rsid w:val="31011A35"/>
    <w:rsid w:val="31150F19"/>
    <w:rsid w:val="3313651A"/>
    <w:rsid w:val="33DF4C79"/>
    <w:rsid w:val="34D73A93"/>
    <w:rsid w:val="369D2963"/>
    <w:rsid w:val="36C573CA"/>
    <w:rsid w:val="36FD6B29"/>
    <w:rsid w:val="37396CC4"/>
    <w:rsid w:val="38657B38"/>
    <w:rsid w:val="38F2C7FA"/>
    <w:rsid w:val="39654E08"/>
    <w:rsid w:val="397B048C"/>
    <w:rsid w:val="3A5B60F2"/>
    <w:rsid w:val="3BF557D8"/>
    <w:rsid w:val="3D2D0F20"/>
    <w:rsid w:val="3D2F50BD"/>
    <w:rsid w:val="3D3E5917"/>
    <w:rsid w:val="3D7D2F3D"/>
    <w:rsid w:val="3E46611B"/>
    <w:rsid w:val="3E7D5AF4"/>
    <w:rsid w:val="3EBBD01F"/>
    <w:rsid w:val="3EFBF465"/>
    <w:rsid w:val="3EFD3190"/>
    <w:rsid w:val="3F3C5403"/>
    <w:rsid w:val="3F9FE314"/>
    <w:rsid w:val="3FAA4022"/>
    <w:rsid w:val="3FD738A8"/>
    <w:rsid w:val="3FEB093D"/>
    <w:rsid w:val="41060D8C"/>
    <w:rsid w:val="413E6445"/>
    <w:rsid w:val="43944EF6"/>
    <w:rsid w:val="43AD2E2C"/>
    <w:rsid w:val="44A02183"/>
    <w:rsid w:val="44A308A0"/>
    <w:rsid w:val="44D05F86"/>
    <w:rsid w:val="452B4324"/>
    <w:rsid w:val="45E95B21"/>
    <w:rsid w:val="479B176C"/>
    <w:rsid w:val="47F70F53"/>
    <w:rsid w:val="486B2501"/>
    <w:rsid w:val="490D10A4"/>
    <w:rsid w:val="491827E4"/>
    <w:rsid w:val="4A97106E"/>
    <w:rsid w:val="4AEF389B"/>
    <w:rsid w:val="4C4D2520"/>
    <w:rsid w:val="4CC45BAA"/>
    <w:rsid w:val="4D322208"/>
    <w:rsid w:val="4DE7E973"/>
    <w:rsid w:val="4E3D2BDD"/>
    <w:rsid w:val="4EE923E8"/>
    <w:rsid w:val="4FF84DE5"/>
    <w:rsid w:val="50BD7737"/>
    <w:rsid w:val="50F65568"/>
    <w:rsid w:val="51A147AF"/>
    <w:rsid w:val="529E1FDA"/>
    <w:rsid w:val="52DE0EF2"/>
    <w:rsid w:val="537579CD"/>
    <w:rsid w:val="53E6259C"/>
    <w:rsid w:val="53FB022F"/>
    <w:rsid w:val="5512691C"/>
    <w:rsid w:val="55170EB3"/>
    <w:rsid w:val="5545753F"/>
    <w:rsid w:val="56A520E1"/>
    <w:rsid w:val="56E71DAD"/>
    <w:rsid w:val="57225867"/>
    <w:rsid w:val="578D1A23"/>
    <w:rsid w:val="580E6F94"/>
    <w:rsid w:val="592F668E"/>
    <w:rsid w:val="5A6775E8"/>
    <w:rsid w:val="5ADA4E99"/>
    <w:rsid w:val="5AF33371"/>
    <w:rsid w:val="5DDFA081"/>
    <w:rsid w:val="5E47671F"/>
    <w:rsid w:val="5E7901E2"/>
    <w:rsid w:val="5E7B15A1"/>
    <w:rsid w:val="5E8C5619"/>
    <w:rsid w:val="5EFF6987"/>
    <w:rsid w:val="5F4F9849"/>
    <w:rsid w:val="5F7BF075"/>
    <w:rsid w:val="5FC86A30"/>
    <w:rsid w:val="60D60FCE"/>
    <w:rsid w:val="6112208A"/>
    <w:rsid w:val="639A0F1E"/>
    <w:rsid w:val="641010BA"/>
    <w:rsid w:val="64D9130F"/>
    <w:rsid w:val="65644A35"/>
    <w:rsid w:val="657F3719"/>
    <w:rsid w:val="65EFEE23"/>
    <w:rsid w:val="66AF77C0"/>
    <w:rsid w:val="67366A00"/>
    <w:rsid w:val="674D41A6"/>
    <w:rsid w:val="676F79C2"/>
    <w:rsid w:val="69274109"/>
    <w:rsid w:val="69452E83"/>
    <w:rsid w:val="69827892"/>
    <w:rsid w:val="69B85951"/>
    <w:rsid w:val="69EA1EC7"/>
    <w:rsid w:val="6A277A45"/>
    <w:rsid w:val="6A4C17BC"/>
    <w:rsid w:val="6A52026E"/>
    <w:rsid w:val="6B660A11"/>
    <w:rsid w:val="6BF3862A"/>
    <w:rsid w:val="6E1B0B6E"/>
    <w:rsid w:val="6E917399"/>
    <w:rsid w:val="6EDE1909"/>
    <w:rsid w:val="6EDFAD2D"/>
    <w:rsid w:val="6F7D291E"/>
    <w:rsid w:val="6FCDB167"/>
    <w:rsid w:val="70E8172C"/>
    <w:rsid w:val="71CA4F6B"/>
    <w:rsid w:val="71CB6F57"/>
    <w:rsid w:val="72FA7024"/>
    <w:rsid w:val="73662687"/>
    <w:rsid w:val="74AE84BE"/>
    <w:rsid w:val="74DD4C69"/>
    <w:rsid w:val="76435743"/>
    <w:rsid w:val="76537317"/>
    <w:rsid w:val="76FA6E6A"/>
    <w:rsid w:val="7776C149"/>
    <w:rsid w:val="77B5478F"/>
    <w:rsid w:val="77EF1155"/>
    <w:rsid w:val="77F97481"/>
    <w:rsid w:val="77FFCBA4"/>
    <w:rsid w:val="78506275"/>
    <w:rsid w:val="795EF951"/>
    <w:rsid w:val="79D78E7E"/>
    <w:rsid w:val="79E00CF3"/>
    <w:rsid w:val="7A56241A"/>
    <w:rsid w:val="7B4B74D9"/>
    <w:rsid w:val="7BF7320C"/>
    <w:rsid w:val="7BF7E8FD"/>
    <w:rsid w:val="7BFC5E64"/>
    <w:rsid w:val="7BFE29F7"/>
    <w:rsid w:val="7CBC0628"/>
    <w:rsid w:val="7CC47144"/>
    <w:rsid w:val="7DB3F8A3"/>
    <w:rsid w:val="7E6700E6"/>
    <w:rsid w:val="7EF7F1DB"/>
    <w:rsid w:val="7EFED0A1"/>
    <w:rsid w:val="7F0C2378"/>
    <w:rsid w:val="7F5EFB96"/>
    <w:rsid w:val="7F75C09D"/>
    <w:rsid w:val="7F773794"/>
    <w:rsid w:val="7F7E26F7"/>
    <w:rsid w:val="7F956F35"/>
    <w:rsid w:val="7F9FB1C2"/>
    <w:rsid w:val="7FB317A8"/>
    <w:rsid w:val="7FBE3DD1"/>
    <w:rsid w:val="7FCE32BD"/>
    <w:rsid w:val="7FF519B5"/>
    <w:rsid w:val="7FF6FAD3"/>
    <w:rsid w:val="7FF9044E"/>
    <w:rsid w:val="7FFEEE25"/>
    <w:rsid w:val="7FFF8D14"/>
    <w:rsid w:val="7FFFDBD4"/>
    <w:rsid w:val="9FB65E5E"/>
    <w:rsid w:val="9FFFE288"/>
    <w:rsid w:val="A37E0313"/>
    <w:rsid w:val="A6BEDF6C"/>
    <w:rsid w:val="A7FEAC3F"/>
    <w:rsid w:val="AB1FB8B3"/>
    <w:rsid w:val="AEFA262A"/>
    <w:rsid w:val="B16F32AF"/>
    <w:rsid w:val="B5BF7406"/>
    <w:rsid w:val="BB7F3762"/>
    <w:rsid w:val="BBB51A89"/>
    <w:rsid w:val="BECB618F"/>
    <w:rsid w:val="D5FFA840"/>
    <w:rsid w:val="D9F30D27"/>
    <w:rsid w:val="DA6FA0FE"/>
    <w:rsid w:val="DBBF7030"/>
    <w:rsid w:val="DD3737E5"/>
    <w:rsid w:val="DD67FD0F"/>
    <w:rsid w:val="DE3C28BE"/>
    <w:rsid w:val="DEFC62D5"/>
    <w:rsid w:val="DF376D2B"/>
    <w:rsid w:val="DFBD8C0D"/>
    <w:rsid w:val="DFFB4BF1"/>
    <w:rsid w:val="E5FF1D7B"/>
    <w:rsid w:val="E7B8A6CE"/>
    <w:rsid w:val="E7DC673B"/>
    <w:rsid w:val="E9F7CF3B"/>
    <w:rsid w:val="EAEF6CE4"/>
    <w:rsid w:val="EBEFC76A"/>
    <w:rsid w:val="ED58F6C0"/>
    <w:rsid w:val="EDFD82BA"/>
    <w:rsid w:val="EDFFC59F"/>
    <w:rsid w:val="EE61756B"/>
    <w:rsid w:val="EF6FC960"/>
    <w:rsid w:val="EFFF2F9E"/>
    <w:rsid w:val="F3CBDC16"/>
    <w:rsid w:val="F3D91361"/>
    <w:rsid w:val="F5EE91DF"/>
    <w:rsid w:val="F7AFC76E"/>
    <w:rsid w:val="F7AFF204"/>
    <w:rsid w:val="F7F7698D"/>
    <w:rsid w:val="F7F7AB68"/>
    <w:rsid w:val="F7FF658A"/>
    <w:rsid w:val="F9BE4741"/>
    <w:rsid w:val="FD8EB614"/>
    <w:rsid w:val="FDBEA5F3"/>
    <w:rsid w:val="FED53F4E"/>
    <w:rsid w:val="FEFB414E"/>
    <w:rsid w:val="FEFDDA14"/>
    <w:rsid w:val="FEFF4243"/>
    <w:rsid w:val="FF175D46"/>
    <w:rsid w:val="FF7ED40E"/>
    <w:rsid w:val="FFDFB418"/>
    <w:rsid w:val="FFE30183"/>
    <w:rsid w:val="FFF59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6">
    <w:name w:val="heading 4"/>
    <w:basedOn w:val="1"/>
    <w:next w:val="1"/>
    <w:link w:val="3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alloon Text"/>
    <w:basedOn w:val="1"/>
    <w:next w:val="1"/>
    <w:unhideWhenUsed/>
    <w:qFormat/>
    <w:uiPriority w:val="99"/>
    <w:rPr>
      <w:sz w:val="18"/>
      <w:szCs w:val="18"/>
    </w:rPr>
  </w:style>
  <w:style w:type="paragraph" w:styleId="7">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8">
    <w:name w:val="footer"/>
    <w:basedOn w:val="1"/>
    <w:link w:val="25"/>
    <w:unhideWhenUsed/>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paragraph" w:styleId="12">
    <w:name w:val="Normal (Web)"/>
    <w:basedOn w:val="1"/>
    <w:qFormat/>
    <w:uiPriority w:val="0"/>
    <w:pPr>
      <w:spacing w:beforeAutospacing="1" w:afterAutospacing="1"/>
      <w:jc w:val="left"/>
    </w:pPr>
    <w:rPr>
      <w:kern w:val="0"/>
      <w:sz w:val="24"/>
    </w:rPr>
  </w:style>
  <w:style w:type="paragraph" w:styleId="13">
    <w:name w:val="Title"/>
    <w:basedOn w:val="1"/>
    <w:next w:val="1"/>
    <w:link w:val="29"/>
    <w:qFormat/>
    <w:uiPriority w:val="0"/>
    <w:pPr>
      <w:spacing w:before="240" w:after="60"/>
      <w:jc w:val="center"/>
      <w:outlineLvl w:val="0"/>
    </w:pPr>
    <w:rPr>
      <w:rFonts w:asciiTheme="majorHAnsi" w:hAnsiTheme="majorHAnsi" w:cstheme="majorBidi"/>
      <w:b/>
      <w:bCs/>
      <w:sz w:val="32"/>
      <w:szCs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Emphasis"/>
    <w:basedOn w:val="16"/>
    <w:qFormat/>
    <w:uiPriority w:val="0"/>
  </w:style>
  <w:style w:type="character" w:styleId="19">
    <w:name w:val="Hyperlink"/>
    <w:basedOn w:val="16"/>
    <w:qFormat/>
    <w:uiPriority w:val="99"/>
    <w:rPr>
      <w:color w:val="0000FF"/>
      <w:u w:val="single"/>
    </w:rPr>
  </w:style>
  <w:style w:type="character" w:styleId="20">
    <w:name w:val="HTML Cite"/>
    <w:basedOn w:val="16"/>
    <w:qFormat/>
    <w:uiPriority w:val="0"/>
  </w:style>
  <w:style w:type="character" w:styleId="21">
    <w:name w:val="footnote reference"/>
    <w:basedOn w:val="16"/>
    <w:unhideWhenUsed/>
    <w:qFormat/>
    <w:uiPriority w:val="99"/>
    <w:rPr>
      <w:vertAlign w:val="superscript"/>
    </w:rPr>
  </w:style>
  <w:style w:type="paragraph" w:customStyle="1" w:styleId="22">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23">
    <w:name w:val="Char3"/>
    <w:basedOn w:val="1"/>
    <w:qFormat/>
    <w:uiPriority w:val="0"/>
    <w:pPr>
      <w:widowControl/>
      <w:spacing w:line="240" w:lineRule="exact"/>
      <w:jc w:val="left"/>
    </w:pPr>
  </w:style>
  <w:style w:type="character" w:customStyle="1" w:styleId="24">
    <w:name w:val="NormalCharacter"/>
    <w:qFormat/>
    <w:uiPriority w:val="0"/>
  </w:style>
  <w:style w:type="character" w:customStyle="1" w:styleId="25">
    <w:name w:val="页脚 Char"/>
    <w:basedOn w:val="16"/>
    <w:link w:val="8"/>
    <w:qFormat/>
    <w:uiPriority w:val="99"/>
    <w:rPr>
      <w:kern w:val="2"/>
      <w:sz w:val="18"/>
      <w:szCs w:val="24"/>
    </w:rPr>
  </w:style>
  <w:style w:type="paragraph" w:styleId="26">
    <w:name w:val="List Paragraph"/>
    <w:basedOn w:val="1"/>
    <w:unhideWhenUsed/>
    <w:qFormat/>
    <w:uiPriority w:val="99"/>
    <w:pPr>
      <w:ind w:firstLine="420" w:firstLineChars="200"/>
    </w:pPr>
  </w:style>
  <w:style w:type="character" w:customStyle="1" w:styleId="27">
    <w:name w:val="标题 1 Char"/>
    <w:basedOn w:val="16"/>
    <w:link w:val="3"/>
    <w:qFormat/>
    <w:uiPriority w:val="0"/>
    <w:rPr>
      <w:b/>
      <w:bCs/>
      <w:kern w:val="44"/>
      <w:sz w:val="44"/>
      <w:szCs w:val="44"/>
    </w:rPr>
  </w:style>
  <w:style w:type="paragraph" w:customStyle="1" w:styleId="28">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5" w:themeColor="accent1" w:themeShade="BF"/>
      <w:kern w:val="0"/>
      <w:sz w:val="28"/>
      <w:szCs w:val="28"/>
    </w:rPr>
  </w:style>
  <w:style w:type="character" w:customStyle="1" w:styleId="29">
    <w:name w:val="标题 Char"/>
    <w:basedOn w:val="16"/>
    <w:link w:val="13"/>
    <w:qFormat/>
    <w:uiPriority w:val="0"/>
    <w:rPr>
      <w:rFonts w:asciiTheme="majorHAnsi" w:hAnsiTheme="majorHAnsi" w:cstheme="majorBidi"/>
      <w:b/>
      <w:bCs/>
      <w:kern w:val="2"/>
      <w:sz w:val="32"/>
      <w:szCs w:val="32"/>
    </w:rPr>
  </w:style>
  <w:style w:type="character" w:customStyle="1" w:styleId="30">
    <w:name w:val="标题 2 Char"/>
    <w:basedOn w:val="16"/>
    <w:link w:val="4"/>
    <w:qFormat/>
    <w:uiPriority w:val="0"/>
    <w:rPr>
      <w:rFonts w:asciiTheme="majorHAnsi" w:hAnsiTheme="majorHAnsi" w:eastAsiaTheme="majorEastAsia" w:cstheme="majorBidi"/>
      <w:b/>
      <w:bCs/>
      <w:kern w:val="2"/>
      <w:sz w:val="32"/>
      <w:szCs w:val="32"/>
    </w:rPr>
  </w:style>
  <w:style w:type="character" w:customStyle="1" w:styleId="31">
    <w:name w:val="标题 4 Char"/>
    <w:basedOn w:val="16"/>
    <w:link w:val="6"/>
    <w:qFormat/>
    <w:uiPriority w:val="0"/>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建设局</Company>
  <Pages>17</Pages>
  <Words>1287</Words>
  <Characters>7342</Characters>
  <Lines>61</Lines>
  <Paragraphs>17</Paragraphs>
  <TotalTime>225</TotalTime>
  <ScaleCrop>false</ScaleCrop>
  <LinksUpToDate>false</LinksUpToDate>
  <CharactersWithSpaces>8612</CharactersWithSpaces>
  <Application>WPS Office_11.8.2.12293_F1E327BC-269C-435d-A152-05C5408002CA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2025-05-18T15:52:00Z</dcterms:created>
  <dc:creator>DELL</dc:creator>
  <cp:lastModifiedBy>unis</cp:lastModifiedBy>
  <cp:lastPrinted>2025-05-31T18:17:00Z</cp:lastPrinted>
  <dcterms:modified xsi:type="dcterms:W3CDTF">2025-06-16T10:11:59Z</dcterms:modified>
  <cp:revision>143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2052-11.8.2.12293</vt:lpwstr>
  </property>
  <property fmtid="{D5CDD505-2E9C-101B-9397-08002B2CF9AE}" pid="3" name="ICV">
    <vt:lpwstr>DB9039E4DAC24B3CA3FF65A4CABB496B</vt:lpwstr>
  </property>
</Properties>
</file>