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38250">
      <w:pPr>
        <w:spacing w:line="500" w:lineRule="exact"/>
        <w:ind w:firstLine="0" w:firstLineChars="0"/>
        <w:rPr>
          <w:rFonts w:hint="eastAsia" w:ascii="仿宋_GB2312" w:eastAsia="仿宋_GB2312" w:cs="Times New Roman"/>
          <w:sz w:val="21"/>
          <w:szCs w:val="24"/>
        </w:rPr>
      </w:pPr>
    </w:p>
    <w:p w14:paraId="2C0A60FB">
      <w:pPr>
        <w:spacing w:line="500" w:lineRule="exact"/>
        <w:ind w:firstLine="0" w:firstLineChars="0"/>
        <w:rPr>
          <w:rFonts w:hint="eastAsia" w:ascii="仿宋_GB2312" w:eastAsia="仿宋_GB2312" w:cs="Times New Roman"/>
          <w:sz w:val="21"/>
          <w:szCs w:val="24"/>
        </w:rPr>
      </w:pPr>
    </w:p>
    <w:p w14:paraId="3D2171BD">
      <w:pPr>
        <w:spacing w:line="500" w:lineRule="exact"/>
        <w:ind w:firstLine="0" w:firstLineChars="0"/>
        <w:rPr>
          <w:rFonts w:hint="eastAsia" w:ascii="仿宋_GB2312" w:eastAsia="仿宋_GB2312" w:cs="Times New Roman"/>
          <w:sz w:val="21"/>
          <w:szCs w:val="24"/>
        </w:rPr>
      </w:pPr>
    </w:p>
    <w:p w14:paraId="06728EDD">
      <w:pPr>
        <w:spacing w:line="480" w:lineRule="exact"/>
        <w:ind w:firstLine="0" w:firstLineChars="0"/>
        <w:rPr>
          <w:rFonts w:hint="eastAsia" w:ascii="仿宋_GB2312" w:eastAsia="仿宋_GB2312" w:cs="Times New Roman"/>
          <w:sz w:val="21"/>
          <w:szCs w:val="24"/>
        </w:rPr>
      </w:pPr>
    </w:p>
    <w:p w14:paraId="4D2D40D4">
      <w:pPr>
        <w:spacing w:line="480" w:lineRule="exact"/>
        <w:ind w:firstLine="0" w:firstLineChars="0"/>
        <w:rPr>
          <w:rFonts w:hint="eastAsia" w:ascii="仿宋_GB2312" w:eastAsia="仿宋_GB2312" w:cs="Times New Roman"/>
          <w:sz w:val="21"/>
          <w:szCs w:val="24"/>
        </w:rPr>
      </w:pPr>
    </w:p>
    <w:p w14:paraId="408794F5">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仿宋_GB2312" w:eastAsia="仿宋_GB2312" w:cs="Times New Roman"/>
          <w:sz w:val="21"/>
          <w:szCs w:val="24"/>
        </w:rPr>
      </w:pPr>
    </w:p>
    <w:p w14:paraId="65116F92">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仿宋_GB2312" w:eastAsia="仿宋_GB2312" w:cs="Times New Roman"/>
          <w:sz w:val="21"/>
          <w:szCs w:val="24"/>
        </w:rPr>
      </w:pPr>
    </w:p>
    <w:p w14:paraId="395E544C">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仿宋_GB2312" w:eastAsia="仿宋_GB2312" w:cs="Times New Roman"/>
          <w:sz w:val="21"/>
          <w:szCs w:val="24"/>
        </w:rPr>
      </w:pPr>
    </w:p>
    <w:p w14:paraId="6CF35731">
      <w:pPr>
        <w:keepNext w:val="0"/>
        <w:keepLines w:val="0"/>
        <w:pageBreakBefore w:val="0"/>
        <w:widowControl w:val="0"/>
        <w:kinsoku/>
        <w:wordWrap/>
        <w:overflowPunct/>
        <w:topLinePunct w:val="0"/>
        <w:autoSpaceDE/>
        <w:autoSpaceDN/>
        <w:bidi w:val="0"/>
        <w:adjustRightInd/>
        <w:snapToGrid/>
        <w:spacing w:line="460" w:lineRule="exact"/>
        <w:ind w:firstLine="0" w:firstLineChars="0"/>
        <w:textAlignment w:val="auto"/>
        <w:rPr>
          <w:rFonts w:hint="eastAsia" w:ascii="仿宋_GB2312" w:eastAsia="仿宋_GB2312" w:cs="Times New Roman"/>
          <w:sz w:val="21"/>
          <w:szCs w:val="24"/>
        </w:rPr>
      </w:pPr>
    </w:p>
    <w:p w14:paraId="1AA4D07A">
      <w:pPr>
        <w:keepNext w:val="0"/>
        <w:keepLines w:val="0"/>
        <w:pageBreakBefore w:val="0"/>
        <w:widowControl w:val="0"/>
        <w:kinsoku/>
        <w:wordWrap/>
        <w:overflowPunct/>
        <w:topLinePunct w:val="0"/>
        <w:autoSpaceDE/>
        <w:autoSpaceDN/>
        <w:bidi w:val="0"/>
        <w:adjustRightInd/>
        <w:snapToGrid/>
        <w:spacing w:line="40" w:lineRule="exact"/>
        <w:ind w:firstLine="0" w:firstLineChars="0"/>
        <w:textAlignment w:val="auto"/>
        <w:rPr>
          <w:rFonts w:hint="eastAsia" w:ascii="仿宋_GB2312" w:eastAsia="仿宋_GB2312" w:cs="Times New Roman"/>
          <w:sz w:val="21"/>
          <w:szCs w:val="24"/>
        </w:rPr>
      </w:pPr>
    </w:p>
    <w:p w14:paraId="02F06E3C">
      <w:pPr>
        <w:keepNext w:val="0"/>
        <w:keepLines w:val="0"/>
        <w:pageBreakBefore w:val="0"/>
        <w:widowControl w:val="0"/>
        <w:kinsoku/>
        <w:wordWrap/>
        <w:overflowPunct/>
        <w:topLinePunct w:val="0"/>
        <w:autoSpaceDE/>
        <w:autoSpaceDN/>
        <w:bidi w:val="0"/>
        <w:adjustRightInd/>
        <w:snapToGrid/>
        <w:spacing w:line="200" w:lineRule="exact"/>
        <w:ind w:firstLine="0" w:firstLineChars="0"/>
        <w:textAlignment w:val="auto"/>
        <w:rPr>
          <w:rFonts w:hint="eastAsia" w:ascii="仿宋_GB2312" w:eastAsia="仿宋_GB2312" w:cs="Times New Roman"/>
          <w:sz w:val="21"/>
          <w:szCs w:val="24"/>
        </w:rPr>
      </w:pPr>
    </w:p>
    <w:p w14:paraId="5E85F4C7">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default" w:ascii="楷体" w:hAnsi="楷体" w:eastAsia="仿宋_GB2312" w:cs="Times New Roman"/>
          <w:sz w:val="32"/>
          <w:szCs w:val="32"/>
          <w:lang w:val="en-US" w:eastAsia="zh-CN"/>
        </w:rPr>
      </w:pPr>
      <w:r>
        <w:rPr>
          <w:rFonts w:hint="eastAsia" w:ascii="仿宋_GB2312" w:eastAsia="仿宋_GB2312" w:cs="Times New Roman"/>
          <w:sz w:val="32"/>
          <w:szCs w:val="32"/>
        </w:rPr>
        <w:t>延市</w:t>
      </w:r>
      <w:r>
        <w:rPr>
          <w:rFonts w:hint="eastAsia" w:ascii="仿宋_GB2312" w:eastAsia="仿宋_GB2312" w:cs="Times New Roman"/>
          <w:sz w:val="32"/>
          <w:szCs w:val="32"/>
          <w:lang w:val="en-US" w:eastAsia="zh-CN"/>
        </w:rPr>
        <w:t>安办</w:t>
      </w:r>
      <w:r>
        <w:rPr>
          <w:rFonts w:hint="eastAsia" w:ascii="仿宋_GB2312" w:eastAsia="仿宋_GB2312" w:cs="Times New Roman"/>
          <w:sz w:val="32"/>
          <w:szCs w:val="32"/>
        </w:rPr>
        <w:t>字〔20</w:t>
      </w:r>
      <w:r>
        <w:rPr>
          <w:rFonts w:hint="eastAsia" w:ascii="仿宋_GB2312" w:eastAsia="仿宋_GB2312" w:cs="Times New Roman"/>
          <w:sz w:val="32"/>
          <w:szCs w:val="32"/>
          <w:lang w:val="en-US" w:eastAsia="zh-CN"/>
        </w:rPr>
        <w:t>24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43</w:t>
      </w:r>
      <w:r>
        <w:rPr>
          <w:rFonts w:hint="eastAsia" w:ascii="仿宋_GB2312" w:hAnsi="仿宋_GB2312" w:eastAsia="仿宋_GB2312" w:cs="仿宋_GB2312"/>
          <w:sz w:val="32"/>
          <w:szCs w:val="32"/>
        </w:rPr>
        <w:t xml:space="preserve">号 </w:t>
      </w:r>
      <w:r>
        <w:rPr>
          <w:rFonts w:hint="eastAsia" w:ascii="仿宋_GB2312"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eastAsia="仿宋_GB2312" w:cs="Times New Roman"/>
          <w:sz w:val="32"/>
          <w:szCs w:val="32"/>
        </w:rPr>
        <w:t>签发人：</w:t>
      </w:r>
      <w:r>
        <w:rPr>
          <w:rFonts w:hint="eastAsia" w:ascii="楷体" w:hAnsi="楷体" w:eastAsia="楷体" w:cs="Times New Roman"/>
          <w:sz w:val="32"/>
          <w:szCs w:val="32"/>
          <w:lang w:val="en-US" w:eastAsia="zh-CN"/>
        </w:rPr>
        <w:t>李海洋</w:t>
      </w:r>
    </w:p>
    <w:p w14:paraId="4B89AE54">
      <w:pPr>
        <w:keepNext w:val="0"/>
        <w:keepLines w:val="0"/>
        <w:pageBreakBefore w:val="0"/>
        <w:widowControl w:val="0"/>
        <w:kinsoku/>
        <w:wordWrap/>
        <w:overflowPunct/>
        <w:topLinePunct w:val="0"/>
        <w:autoSpaceDE/>
        <w:autoSpaceDN/>
        <w:bidi w:val="0"/>
        <w:adjustRightInd/>
        <w:snapToGrid/>
        <w:spacing w:after="120" w:line="600" w:lineRule="exact"/>
        <w:ind w:left="0" w:leftChars="0" w:firstLine="0" w:firstLineChars="0"/>
        <w:jc w:val="center"/>
        <w:textAlignment w:val="auto"/>
        <w:rPr>
          <w:rFonts w:hint="eastAsia" w:ascii="Calibri" w:hAnsi="Calibri" w:eastAsia="宋体" w:cs="Times New Roman"/>
          <w:color w:val="000000"/>
          <w:kern w:val="2"/>
          <w:sz w:val="32"/>
          <w:szCs w:val="32"/>
          <w:lang w:val="en-US" w:eastAsia="zh-CN" w:bidi="ar-SA"/>
        </w:rPr>
      </w:pPr>
    </w:p>
    <w:p w14:paraId="5E87496B">
      <w:pPr>
        <w:spacing w:line="560" w:lineRule="exact"/>
        <w:jc w:val="center"/>
        <w:rPr>
          <w:rFonts w:hint="eastAsia" w:ascii="方正小标宋_GBK" w:hAnsi="方正小标宋_GBK" w:eastAsia="方正小标宋_GBK" w:cs="方正小标宋_GBK"/>
          <w:snapToGrid w:val="0"/>
          <w:kern w:val="0"/>
          <w:sz w:val="44"/>
          <w:szCs w:val="44"/>
          <w:lang w:val="en-US" w:eastAsia="zh-CN"/>
        </w:rPr>
      </w:pPr>
      <w:r>
        <w:rPr>
          <w:rFonts w:hint="eastAsia" w:ascii="方正小标宋_GBK" w:hAnsi="方正小标宋_GBK" w:eastAsia="方正小标宋_GBK" w:cs="方正小标宋_GBK"/>
          <w:snapToGrid w:val="0"/>
          <w:kern w:val="0"/>
          <w:sz w:val="44"/>
          <w:szCs w:val="44"/>
          <w:lang w:val="en-US" w:eastAsia="zh-CN"/>
        </w:rPr>
        <w:t>延安市安全生产委员会办公室</w:t>
      </w:r>
    </w:p>
    <w:p w14:paraId="37909DBB">
      <w:pPr>
        <w:spacing w:line="560" w:lineRule="exact"/>
        <w:jc w:val="center"/>
        <w:rPr>
          <w:rFonts w:hint="eastAsia" w:ascii="方正小标宋_GBK" w:hAnsi="方正小标宋_GBK" w:eastAsia="方正小标宋_GBK" w:cs="方正小标宋_GBK"/>
          <w:snapToGrid w:val="0"/>
          <w:kern w:val="0"/>
          <w:sz w:val="44"/>
          <w:szCs w:val="44"/>
        </w:rPr>
      </w:pPr>
      <w:r>
        <w:rPr>
          <w:rFonts w:hint="eastAsia" w:ascii="方正小标宋_GBK" w:hAnsi="方正小标宋_GBK" w:eastAsia="方正小标宋_GBK" w:cs="方正小标宋_GBK"/>
          <w:snapToGrid w:val="0"/>
          <w:kern w:val="0"/>
          <w:sz w:val="44"/>
          <w:szCs w:val="44"/>
          <w:lang w:eastAsia="zh-CN"/>
        </w:rPr>
        <w:t>关于宝塔区</w:t>
      </w:r>
      <w:r>
        <w:rPr>
          <w:rFonts w:hint="eastAsia" w:ascii="方正小标宋_GBK" w:hAnsi="方正小标宋_GBK" w:eastAsia="方正小标宋_GBK" w:cs="方正小标宋_GBK"/>
          <w:snapToGrid w:val="0"/>
          <w:kern w:val="0"/>
          <w:sz w:val="44"/>
          <w:szCs w:val="44"/>
          <w:highlight w:val="none"/>
          <w:lang w:val="en-US" w:eastAsia="zh-CN"/>
        </w:rPr>
        <w:t>306省道</w:t>
      </w:r>
      <w:r>
        <w:rPr>
          <w:rFonts w:hint="eastAsia" w:ascii="方正小标宋_GBK" w:hAnsi="方正小标宋_GBK" w:eastAsia="方正小标宋_GBK" w:cs="方正小标宋_GBK"/>
          <w:snapToGrid w:val="0"/>
          <w:kern w:val="0"/>
          <w:sz w:val="44"/>
          <w:szCs w:val="44"/>
        </w:rPr>
        <w:t>“</w:t>
      </w:r>
      <w:r>
        <w:rPr>
          <w:rFonts w:hint="eastAsia" w:ascii="方正小标宋_GBK" w:hAnsi="方正小标宋_GBK" w:eastAsia="方正小标宋_GBK" w:cs="方正小标宋_GBK"/>
          <w:snapToGrid w:val="0"/>
          <w:kern w:val="0"/>
          <w:sz w:val="44"/>
          <w:szCs w:val="44"/>
          <w:lang w:val="en-US" w:eastAsia="zh-CN"/>
        </w:rPr>
        <w:t>8</w:t>
      </w:r>
      <w:r>
        <w:rPr>
          <w:rFonts w:hint="eastAsia" w:ascii="仿宋_GB2312" w:hAnsi="仿宋" w:eastAsia="仿宋_GB2312" w:cs="仿宋"/>
          <w:bCs/>
          <w:color w:val="000000"/>
          <w:kern w:val="0"/>
          <w:sz w:val="32"/>
          <w:szCs w:val="32"/>
          <w:highlight w:val="none"/>
          <w:lang w:val="en-US" w:eastAsia="zh-CN"/>
        </w:rPr>
        <w:t>•</w:t>
      </w:r>
      <w:r>
        <w:rPr>
          <w:rFonts w:hint="eastAsia" w:ascii="方正小标宋_GBK" w:hAnsi="方正小标宋_GBK" w:eastAsia="方正小标宋_GBK" w:cs="方正小标宋_GBK"/>
          <w:snapToGrid w:val="0"/>
          <w:kern w:val="0"/>
          <w:sz w:val="44"/>
          <w:szCs w:val="44"/>
          <w:lang w:val="en-US" w:eastAsia="zh-CN"/>
        </w:rPr>
        <w:t>4</w:t>
      </w:r>
      <w:r>
        <w:rPr>
          <w:rFonts w:hint="eastAsia" w:ascii="方正小标宋_GBK" w:hAnsi="方正小标宋_GBK" w:eastAsia="方正小标宋_GBK" w:cs="方正小标宋_GBK"/>
          <w:snapToGrid w:val="0"/>
          <w:kern w:val="0"/>
          <w:sz w:val="44"/>
          <w:szCs w:val="44"/>
        </w:rPr>
        <w:t>”较大道路交通</w:t>
      </w:r>
    </w:p>
    <w:p w14:paraId="13F75B62">
      <w:pPr>
        <w:spacing w:line="560" w:lineRule="exact"/>
        <w:jc w:val="center"/>
        <w:rPr>
          <w:rFonts w:hint="eastAsia" w:ascii="方正小标宋_GBK" w:hAnsi="方正小标宋_GBK" w:eastAsia="方正小标宋_GBK" w:cs="方正小标宋_GBK"/>
          <w:snapToGrid w:val="0"/>
          <w:kern w:val="0"/>
          <w:sz w:val="44"/>
          <w:szCs w:val="44"/>
        </w:rPr>
      </w:pPr>
      <w:r>
        <w:rPr>
          <w:rFonts w:hint="eastAsia" w:ascii="方正小标宋_GBK" w:hAnsi="方正小标宋_GBK" w:eastAsia="方正小标宋_GBK" w:cs="方正小标宋_GBK"/>
          <w:snapToGrid w:val="0"/>
          <w:kern w:val="0"/>
          <w:sz w:val="44"/>
          <w:szCs w:val="44"/>
        </w:rPr>
        <w:t>事故责任追究和整改措施落实</w:t>
      </w:r>
    </w:p>
    <w:p w14:paraId="056CB7EF">
      <w:pPr>
        <w:spacing w:line="560" w:lineRule="exact"/>
        <w:jc w:val="center"/>
        <w:rPr>
          <w:rFonts w:hint="eastAsia" w:ascii="方正小标宋_GBK" w:hAnsi="方正小标宋_GBK" w:eastAsia="方正小标宋_GBK" w:cs="方正小标宋_GBK"/>
          <w:snapToGrid w:val="0"/>
          <w:kern w:val="0"/>
          <w:sz w:val="44"/>
          <w:szCs w:val="44"/>
        </w:rPr>
      </w:pPr>
      <w:r>
        <w:rPr>
          <w:rFonts w:hint="eastAsia" w:ascii="方正小标宋_GBK" w:hAnsi="方正小标宋_GBK" w:eastAsia="方正小标宋_GBK" w:cs="方正小标宋_GBK"/>
          <w:snapToGrid w:val="0"/>
          <w:kern w:val="0"/>
          <w:sz w:val="44"/>
          <w:szCs w:val="44"/>
        </w:rPr>
        <w:t>情况</w:t>
      </w:r>
      <w:r>
        <w:rPr>
          <w:rFonts w:hint="eastAsia" w:ascii="方正小标宋_GBK" w:hAnsi="方正小标宋_GBK" w:eastAsia="方正小标宋_GBK" w:cs="方正小标宋_GBK"/>
          <w:snapToGrid w:val="0"/>
          <w:kern w:val="0"/>
          <w:sz w:val="44"/>
          <w:szCs w:val="44"/>
          <w:lang w:val="en-US" w:eastAsia="zh-CN"/>
        </w:rPr>
        <w:t>的</w:t>
      </w:r>
      <w:r>
        <w:rPr>
          <w:rFonts w:hint="eastAsia" w:ascii="方正小标宋_GBK" w:hAnsi="方正小标宋_GBK" w:eastAsia="方正小标宋_GBK" w:cs="方正小标宋_GBK"/>
          <w:snapToGrid w:val="0"/>
          <w:kern w:val="0"/>
          <w:sz w:val="44"/>
          <w:szCs w:val="44"/>
        </w:rPr>
        <w:t>评估报告</w:t>
      </w:r>
    </w:p>
    <w:p w14:paraId="232DDC30">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仿宋_GB2312" w:hAnsi="宋体" w:eastAsia="仿宋_GB2312"/>
          <w:snapToGrid w:val="0"/>
          <w:kern w:val="0"/>
          <w:szCs w:val="32"/>
          <w:lang w:val="en-US" w:eastAsia="zh-CN"/>
        </w:rPr>
      </w:pPr>
    </w:p>
    <w:p w14:paraId="6763BAD3">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仿宋_GB2312" w:hAnsi="宋体" w:eastAsia="仿宋_GB2312"/>
          <w:snapToGrid w:val="0"/>
          <w:kern w:val="0"/>
          <w:szCs w:val="32"/>
          <w:lang w:val="en-US" w:eastAsia="zh-CN"/>
        </w:rPr>
      </w:pPr>
      <w:r>
        <w:rPr>
          <w:rFonts w:hint="eastAsia" w:ascii="仿宋_GB2312" w:hAnsi="宋体" w:eastAsia="仿宋_GB2312"/>
          <w:snapToGrid w:val="0"/>
          <w:kern w:val="0"/>
          <w:szCs w:val="32"/>
          <w:lang w:val="en-US" w:eastAsia="zh-CN"/>
        </w:rPr>
        <w:t>市政府办：</w:t>
      </w:r>
    </w:p>
    <w:p w14:paraId="6999E25B">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 w:eastAsia="仿宋_GB2312" w:cs="仿宋"/>
          <w:bCs/>
          <w:color w:val="000000"/>
          <w:kern w:val="0"/>
          <w:sz w:val="32"/>
          <w:szCs w:val="32"/>
          <w:lang w:val="en-US" w:eastAsia="zh-CN"/>
        </w:rPr>
      </w:pPr>
      <w:r>
        <w:rPr>
          <w:rFonts w:hint="eastAsia" w:ascii="仿宋_GB2312" w:hAnsi="仿宋" w:eastAsia="仿宋_GB2312" w:cs="仿宋"/>
          <w:bCs/>
          <w:color w:val="000000"/>
          <w:kern w:val="0"/>
          <w:sz w:val="32"/>
          <w:szCs w:val="32"/>
          <w:lang w:val="en-US" w:eastAsia="zh-CN"/>
        </w:rPr>
        <w:t>2023</w:t>
      </w:r>
      <w:r>
        <w:rPr>
          <w:rFonts w:hint="eastAsia" w:ascii="仿宋_GB2312" w:hAnsi="仿宋" w:eastAsia="仿宋_GB2312" w:cs="仿宋"/>
          <w:bCs/>
          <w:color w:val="000000"/>
          <w:kern w:val="0"/>
          <w:sz w:val="32"/>
          <w:szCs w:val="32"/>
        </w:rPr>
        <w:t>年8月</w:t>
      </w:r>
      <w:r>
        <w:rPr>
          <w:rFonts w:hint="eastAsia" w:ascii="仿宋_GB2312" w:hAnsi="仿宋" w:eastAsia="仿宋_GB2312" w:cs="仿宋"/>
          <w:bCs/>
          <w:color w:val="000000"/>
          <w:kern w:val="0"/>
          <w:sz w:val="32"/>
          <w:szCs w:val="32"/>
          <w:lang w:val="en-US" w:eastAsia="zh-CN"/>
        </w:rPr>
        <w:t>4</w:t>
      </w:r>
      <w:r>
        <w:rPr>
          <w:rFonts w:hint="eastAsia" w:ascii="仿宋_GB2312" w:hAnsi="仿宋" w:eastAsia="仿宋_GB2312" w:cs="仿宋"/>
          <w:bCs/>
          <w:color w:val="000000"/>
          <w:kern w:val="0"/>
          <w:sz w:val="32"/>
          <w:szCs w:val="32"/>
        </w:rPr>
        <w:t>日，</w:t>
      </w:r>
      <w:r>
        <w:rPr>
          <w:rFonts w:hint="eastAsia" w:ascii="仿宋_GB2312" w:hAnsi="仿宋" w:eastAsia="仿宋_GB2312" w:cs="仿宋"/>
          <w:bCs/>
          <w:color w:val="000000"/>
          <w:kern w:val="0"/>
          <w:sz w:val="32"/>
          <w:szCs w:val="32"/>
          <w:lang w:eastAsia="zh-CN"/>
        </w:rPr>
        <w:t>延安市</w:t>
      </w:r>
      <w:r>
        <w:rPr>
          <w:rFonts w:hint="eastAsia" w:ascii="仿宋_GB2312" w:hAnsi="仿宋" w:eastAsia="仿宋_GB2312" w:cs="仿宋"/>
          <w:bCs/>
          <w:color w:val="000000"/>
          <w:kern w:val="0"/>
          <w:sz w:val="32"/>
          <w:szCs w:val="32"/>
        </w:rPr>
        <w:t>宝塔区</w:t>
      </w:r>
      <w:r>
        <w:rPr>
          <w:rFonts w:hint="eastAsia" w:ascii="仿宋_GB2312" w:hAnsi="仿宋" w:eastAsia="仿宋_GB2312" w:cs="仿宋"/>
          <w:bCs/>
          <w:color w:val="000000"/>
          <w:kern w:val="0"/>
          <w:sz w:val="32"/>
          <w:szCs w:val="32"/>
          <w:lang w:eastAsia="zh-CN"/>
        </w:rPr>
        <w:t>临镇</w:t>
      </w:r>
      <w:r>
        <w:rPr>
          <w:rFonts w:hint="eastAsia" w:ascii="仿宋_GB2312" w:hAnsi="仿宋" w:eastAsia="仿宋_GB2312" w:cs="仿宋"/>
          <w:bCs/>
          <w:color w:val="auto"/>
          <w:kern w:val="0"/>
          <w:sz w:val="32"/>
          <w:szCs w:val="32"/>
          <w:lang w:eastAsia="zh-CN"/>
        </w:rPr>
        <w:t>镇</w:t>
      </w:r>
      <w:r>
        <w:rPr>
          <w:rFonts w:hint="eastAsia" w:ascii="仿宋_GB2312" w:hAnsi="仿宋" w:eastAsia="仿宋_GB2312" w:cs="仿宋"/>
          <w:bCs/>
          <w:color w:val="000000"/>
          <w:kern w:val="0"/>
          <w:sz w:val="32"/>
          <w:szCs w:val="32"/>
          <w:lang w:eastAsia="zh-CN"/>
        </w:rPr>
        <w:t>觉德村（</w:t>
      </w:r>
      <w:r>
        <w:rPr>
          <w:rFonts w:hint="eastAsia" w:ascii="仿宋_GB2312" w:hAnsi="仿宋" w:eastAsia="仿宋_GB2312" w:cs="仿宋"/>
          <w:bCs/>
          <w:color w:val="000000"/>
          <w:kern w:val="0"/>
          <w:sz w:val="32"/>
          <w:szCs w:val="32"/>
          <w:lang w:val="en-US" w:eastAsia="zh-CN"/>
        </w:rPr>
        <w:t>306省道64KM+141m</w:t>
      </w:r>
      <w:r>
        <w:rPr>
          <w:rFonts w:hint="eastAsia" w:ascii="仿宋_GB2312" w:hAnsi="仿宋" w:eastAsia="仿宋_GB2312" w:cs="仿宋"/>
          <w:bCs/>
          <w:color w:val="000000"/>
          <w:kern w:val="0"/>
          <w:sz w:val="32"/>
          <w:szCs w:val="32"/>
          <w:lang w:eastAsia="zh-CN"/>
        </w:rPr>
        <w:t>）公路处发生一起较大道路交通事故，造成</w:t>
      </w:r>
      <w:r>
        <w:rPr>
          <w:rFonts w:hint="eastAsia" w:ascii="仿宋_GB2312" w:hAnsi="仿宋" w:eastAsia="仿宋_GB2312" w:cs="仿宋"/>
          <w:bCs/>
          <w:color w:val="000000"/>
          <w:kern w:val="0"/>
          <w:sz w:val="32"/>
          <w:szCs w:val="32"/>
          <w:lang w:val="en-US" w:eastAsia="zh-CN"/>
        </w:rPr>
        <w:t>4人死亡，直接经济损失406.71万元。</w:t>
      </w:r>
    </w:p>
    <w:p w14:paraId="6A6631BB">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ascii="仿宋_GB2312" w:hAnsi="Calibri" w:eastAsia="仿宋_GB2312"/>
          <w:snapToGrid w:val="0"/>
          <w:kern w:val="0"/>
          <w:szCs w:val="32"/>
        </w:rPr>
      </w:pPr>
      <w:r>
        <w:rPr>
          <w:rFonts w:hint="eastAsia" w:ascii="仿宋_GB2312" w:hAnsi="Times New Roman" w:eastAsia="仿宋_GB2312" w:cs="Times New Roman"/>
          <w:kern w:val="2"/>
          <w:sz w:val="32"/>
          <w:szCs w:val="32"/>
          <w:lang w:val="en-US" w:eastAsia="zh-CN" w:bidi="ar-SA"/>
        </w:rPr>
        <w:t>事故发生后，延安市人民政府成立了宝</w:t>
      </w:r>
      <w:r>
        <w:rPr>
          <w:rFonts w:hint="eastAsia" w:ascii="仿宋_GB2312" w:hAnsi="仿宋" w:eastAsia="仿宋_GB2312" w:cs="仿宋"/>
          <w:bCs/>
          <w:color w:val="000000"/>
          <w:kern w:val="0"/>
          <w:sz w:val="32"/>
          <w:szCs w:val="32"/>
          <w:lang w:val="en-US" w:eastAsia="zh-CN"/>
        </w:rPr>
        <w:t>塔区306省道</w:t>
      </w:r>
      <w:r>
        <w:rPr>
          <w:rFonts w:hint="eastAsia" w:ascii="仿宋_GB2312" w:hAnsi="仿宋" w:eastAsia="仿宋_GB2312" w:cs="仿宋"/>
          <w:bCs/>
          <w:color w:val="000000"/>
          <w:kern w:val="0"/>
          <w:sz w:val="32"/>
          <w:szCs w:val="32"/>
        </w:rPr>
        <w:t>“</w:t>
      </w:r>
      <w:r>
        <w:rPr>
          <w:rFonts w:hint="eastAsia" w:ascii="仿宋_GB2312" w:hAnsi="仿宋" w:eastAsia="仿宋_GB2312" w:cs="仿宋"/>
          <w:bCs/>
          <w:color w:val="000000"/>
          <w:kern w:val="0"/>
          <w:sz w:val="32"/>
          <w:szCs w:val="32"/>
          <w:lang w:val="en-US" w:eastAsia="zh-CN"/>
        </w:rPr>
        <w:t>8·4</w:t>
      </w:r>
      <w:r>
        <w:rPr>
          <w:rFonts w:hint="eastAsia" w:ascii="仿宋_GB2312" w:hAnsi="仿宋" w:eastAsia="仿宋_GB2312" w:cs="仿宋"/>
          <w:bCs/>
          <w:color w:val="000000"/>
          <w:kern w:val="0"/>
          <w:sz w:val="32"/>
          <w:szCs w:val="32"/>
        </w:rPr>
        <w:t>”</w:t>
      </w:r>
      <w:r>
        <w:rPr>
          <w:rFonts w:hint="eastAsia" w:ascii="仿宋_GB2312" w:hAnsi="Times New Roman" w:eastAsia="仿宋_GB2312" w:cs="Times New Roman"/>
          <w:kern w:val="2"/>
          <w:sz w:val="32"/>
          <w:szCs w:val="32"/>
          <w:lang w:val="en-US" w:eastAsia="zh-CN" w:bidi="ar-SA"/>
        </w:rPr>
        <w:t>较大道路交通事故调查组开展</w:t>
      </w:r>
      <w:r>
        <w:rPr>
          <w:rFonts w:hint="eastAsia" w:ascii="仿宋_GB2312" w:eastAsia="仿宋_GB2312" w:cs="Times New Roman"/>
          <w:kern w:val="2"/>
          <w:sz w:val="32"/>
          <w:szCs w:val="32"/>
          <w:lang w:val="en-US" w:eastAsia="zh-CN" w:bidi="ar-SA"/>
        </w:rPr>
        <w:t>了</w:t>
      </w:r>
      <w:r>
        <w:rPr>
          <w:rFonts w:hint="eastAsia" w:ascii="仿宋_GB2312" w:hAnsi="Times New Roman" w:eastAsia="仿宋_GB2312" w:cs="Times New Roman"/>
          <w:kern w:val="2"/>
          <w:sz w:val="32"/>
          <w:szCs w:val="32"/>
          <w:lang w:val="en-US" w:eastAsia="zh-CN" w:bidi="ar-SA"/>
        </w:rPr>
        <w:t>调查工作</w:t>
      </w:r>
      <w:r>
        <w:rPr>
          <w:rFonts w:hint="eastAsia" w:ascii="仿宋_GB2312" w:eastAsia="仿宋_GB2312" w:cs="Times New Roman"/>
          <w:kern w:val="2"/>
          <w:sz w:val="32"/>
          <w:szCs w:val="32"/>
          <w:lang w:val="en-US" w:eastAsia="zh-CN" w:bidi="ar-SA"/>
        </w:rPr>
        <w:t>。</w:t>
      </w:r>
      <w:r>
        <w:rPr>
          <w:rFonts w:hint="eastAsia" w:ascii="仿宋_GB2312" w:hAnsi="Calibri" w:eastAsia="仿宋_GB2312"/>
          <w:snapToGrid w:val="0"/>
          <w:kern w:val="0"/>
          <w:szCs w:val="32"/>
          <w:highlight w:val="none"/>
        </w:rPr>
        <w:t>20</w:t>
      </w:r>
      <w:r>
        <w:rPr>
          <w:rFonts w:hint="eastAsia" w:ascii="仿宋_GB2312" w:hAnsi="Calibri" w:eastAsia="仿宋_GB2312"/>
          <w:snapToGrid w:val="0"/>
          <w:kern w:val="0"/>
          <w:szCs w:val="32"/>
          <w:highlight w:val="none"/>
          <w:lang w:val="en-US" w:eastAsia="zh-CN"/>
        </w:rPr>
        <w:t>23</w:t>
      </w:r>
      <w:r>
        <w:rPr>
          <w:rFonts w:hint="eastAsia" w:ascii="仿宋_GB2312" w:hAnsi="Calibri" w:eastAsia="仿宋_GB2312"/>
          <w:snapToGrid w:val="0"/>
          <w:kern w:val="0"/>
          <w:szCs w:val="32"/>
          <w:highlight w:val="none"/>
        </w:rPr>
        <w:t>年</w:t>
      </w:r>
      <w:r>
        <w:rPr>
          <w:rFonts w:hint="eastAsia" w:ascii="仿宋_GB2312" w:hAnsi="Calibri" w:eastAsia="仿宋_GB2312"/>
          <w:snapToGrid w:val="0"/>
          <w:kern w:val="0"/>
          <w:szCs w:val="32"/>
          <w:highlight w:val="none"/>
          <w:lang w:val="en-US" w:eastAsia="zh-CN"/>
        </w:rPr>
        <w:t>12</w:t>
      </w:r>
      <w:r>
        <w:rPr>
          <w:rFonts w:hint="eastAsia" w:ascii="仿宋_GB2312" w:hAnsi="Calibri" w:eastAsia="仿宋_GB2312"/>
          <w:snapToGrid w:val="0"/>
          <w:kern w:val="0"/>
          <w:szCs w:val="32"/>
          <w:highlight w:val="none"/>
        </w:rPr>
        <w:t>月</w:t>
      </w:r>
      <w:r>
        <w:rPr>
          <w:rFonts w:hint="eastAsia" w:ascii="仿宋_GB2312" w:hAnsi="Calibri" w:eastAsia="仿宋_GB2312"/>
          <w:snapToGrid w:val="0"/>
          <w:kern w:val="0"/>
          <w:szCs w:val="32"/>
          <w:highlight w:val="none"/>
          <w:lang w:val="en-US" w:eastAsia="zh-CN"/>
        </w:rPr>
        <w:t>12</w:t>
      </w:r>
      <w:r>
        <w:rPr>
          <w:rFonts w:hint="eastAsia" w:ascii="仿宋_GB2312" w:hAnsi="Calibri" w:eastAsia="仿宋_GB2312"/>
          <w:snapToGrid w:val="0"/>
          <w:kern w:val="0"/>
          <w:szCs w:val="32"/>
          <w:highlight w:val="none"/>
        </w:rPr>
        <w:t>日，延安市人民政府对《</w:t>
      </w:r>
      <w:r>
        <w:rPr>
          <w:rFonts w:hint="eastAsia" w:ascii="仿宋_GB2312" w:hAnsi="Calibri" w:eastAsia="仿宋_GB2312"/>
          <w:snapToGrid w:val="0"/>
          <w:kern w:val="0"/>
          <w:szCs w:val="32"/>
          <w:highlight w:val="none"/>
          <w:lang w:eastAsia="zh-CN"/>
        </w:rPr>
        <w:t>宝塔区</w:t>
      </w:r>
      <w:r>
        <w:rPr>
          <w:rFonts w:hint="eastAsia" w:ascii="仿宋_GB2312" w:hAnsi="Calibri" w:eastAsia="仿宋_GB2312"/>
          <w:snapToGrid w:val="0"/>
          <w:kern w:val="0"/>
          <w:szCs w:val="32"/>
          <w:highlight w:val="none"/>
          <w:lang w:val="en-US" w:eastAsia="zh-CN"/>
        </w:rPr>
        <w:t>306省道</w:t>
      </w:r>
      <w:r>
        <w:rPr>
          <w:rFonts w:hint="eastAsia" w:ascii="仿宋_GB2312" w:hAnsi="Calibri" w:eastAsia="仿宋_GB2312"/>
          <w:snapToGrid w:val="0"/>
          <w:kern w:val="0"/>
          <w:szCs w:val="32"/>
          <w:highlight w:val="none"/>
        </w:rPr>
        <w:t>“</w:t>
      </w:r>
      <w:r>
        <w:rPr>
          <w:rFonts w:hint="eastAsia" w:ascii="仿宋_GB2312" w:hAnsi="Calibri" w:eastAsia="仿宋_GB2312"/>
          <w:snapToGrid w:val="0"/>
          <w:kern w:val="0"/>
          <w:szCs w:val="32"/>
          <w:highlight w:val="none"/>
          <w:lang w:val="en-US" w:eastAsia="zh-CN"/>
        </w:rPr>
        <w:t>8</w:t>
      </w:r>
      <w:r>
        <w:rPr>
          <w:rFonts w:hint="eastAsia" w:ascii="仿宋_GB2312" w:hAnsi="仿宋" w:eastAsia="仿宋_GB2312" w:cs="仿宋"/>
          <w:bCs/>
          <w:color w:val="000000"/>
          <w:kern w:val="0"/>
          <w:sz w:val="32"/>
          <w:szCs w:val="32"/>
          <w:highlight w:val="none"/>
          <w:lang w:val="en-US" w:eastAsia="zh-CN"/>
        </w:rPr>
        <w:t>·</w:t>
      </w:r>
      <w:r>
        <w:rPr>
          <w:rFonts w:hint="eastAsia" w:ascii="仿宋_GB2312" w:hAnsi="Calibri" w:eastAsia="仿宋_GB2312"/>
          <w:snapToGrid w:val="0"/>
          <w:kern w:val="0"/>
          <w:szCs w:val="32"/>
          <w:highlight w:val="none"/>
          <w:lang w:val="en-US" w:eastAsia="zh-CN"/>
        </w:rPr>
        <w:t>4</w:t>
      </w:r>
      <w:r>
        <w:rPr>
          <w:rFonts w:hint="eastAsia" w:ascii="仿宋_GB2312" w:hAnsi="Calibri" w:eastAsia="仿宋_GB2312"/>
          <w:snapToGrid w:val="0"/>
          <w:kern w:val="0"/>
          <w:szCs w:val="32"/>
          <w:highlight w:val="none"/>
        </w:rPr>
        <w:t>”较大道路交通事故调查报告》（以下简称《事故调查报告》</w:t>
      </w:r>
      <w:r>
        <w:rPr>
          <w:rFonts w:hint="eastAsia" w:ascii="仿宋_GB2312" w:hAnsi="Calibri" w:eastAsia="仿宋_GB2312"/>
          <w:snapToGrid w:val="0"/>
          <w:kern w:val="0"/>
          <w:szCs w:val="32"/>
        </w:rPr>
        <w:t>）进行了批复</w:t>
      </w:r>
      <w:r>
        <w:rPr>
          <w:rFonts w:hint="eastAsia" w:ascii="仿宋_GB2312" w:hAnsi="Calibri" w:eastAsia="仿宋_GB2312"/>
          <w:snapToGrid w:val="0"/>
          <w:kern w:val="0"/>
          <w:szCs w:val="32"/>
          <w:lang w:eastAsia="zh-CN"/>
        </w:rPr>
        <w:t>结案</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eastAsia="zh-CN"/>
        </w:rPr>
        <w:t>并向社会公布了事故调查报告。</w:t>
      </w:r>
      <w:r>
        <w:rPr>
          <w:rFonts w:hint="eastAsia" w:ascii="仿宋_GB2312" w:hAnsi="Times New Roman" w:eastAsia="仿宋_GB2312" w:cs="Times New Roman"/>
          <w:kern w:val="2"/>
          <w:sz w:val="32"/>
          <w:szCs w:val="32"/>
          <w:lang w:val="en-US" w:eastAsia="zh-CN" w:bidi="ar-SA"/>
        </w:rPr>
        <w:t>根据国务院安委办《关于生产安全事故防范和整改措施落实情况评估暂行办法的通知》（安委办〔2021〕4号）规定，市安委会办公室于</w:t>
      </w:r>
      <w:r>
        <w:rPr>
          <w:rFonts w:hint="eastAsia" w:ascii="仿宋_GB2312" w:hAnsi="Times New Roman" w:eastAsia="仿宋_GB2312" w:cs="Times New Roman"/>
          <w:color w:val="auto"/>
          <w:kern w:val="2"/>
          <w:sz w:val="32"/>
          <w:szCs w:val="32"/>
          <w:lang w:val="en-US" w:eastAsia="zh-CN" w:bidi="ar-SA"/>
        </w:rPr>
        <w:t>2024年</w:t>
      </w:r>
      <w:r>
        <w:rPr>
          <w:rFonts w:hint="eastAsia" w:ascii="仿宋_GB2312" w:eastAsia="仿宋_GB2312" w:cs="Times New Roman"/>
          <w:color w:val="auto"/>
          <w:kern w:val="2"/>
          <w:sz w:val="32"/>
          <w:szCs w:val="32"/>
          <w:lang w:val="en-US" w:eastAsia="zh-CN" w:bidi="ar-SA"/>
        </w:rPr>
        <w:t>12</w:t>
      </w:r>
      <w:r>
        <w:rPr>
          <w:rFonts w:hint="eastAsia" w:ascii="仿宋_GB2312" w:hAnsi="Times New Roman" w:eastAsia="仿宋_GB2312" w:cs="Times New Roman"/>
          <w:color w:val="auto"/>
          <w:kern w:val="2"/>
          <w:sz w:val="32"/>
          <w:szCs w:val="32"/>
          <w:lang w:val="en-US" w:eastAsia="zh-CN" w:bidi="ar-SA"/>
        </w:rPr>
        <w:t>月</w:t>
      </w:r>
      <w:r>
        <w:rPr>
          <w:rFonts w:hint="eastAsia" w:ascii="仿宋_GB2312" w:eastAsia="仿宋_GB2312" w:cs="Times New Roman"/>
          <w:color w:val="auto"/>
          <w:kern w:val="2"/>
          <w:sz w:val="32"/>
          <w:szCs w:val="32"/>
          <w:lang w:val="en-US" w:eastAsia="zh-CN" w:bidi="ar-SA"/>
        </w:rPr>
        <w:t>2</w:t>
      </w:r>
      <w:r>
        <w:rPr>
          <w:rFonts w:hint="eastAsia" w:ascii="仿宋_GB2312" w:hAnsi="Times New Roman" w:eastAsia="仿宋_GB2312" w:cs="Times New Roman"/>
          <w:color w:val="auto"/>
          <w:kern w:val="2"/>
          <w:sz w:val="32"/>
          <w:szCs w:val="32"/>
          <w:lang w:val="en-US" w:eastAsia="zh-CN" w:bidi="ar-SA"/>
        </w:rPr>
        <w:t>日</w:t>
      </w:r>
      <w:r>
        <w:rPr>
          <w:rFonts w:hint="eastAsia" w:ascii="仿宋_GB2312" w:hAnsi="Times New Roman" w:eastAsia="仿宋_GB2312" w:cs="Times New Roman"/>
          <w:kern w:val="2"/>
          <w:sz w:val="32"/>
          <w:szCs w:val="32"/>
          <w:lang w:val="en-US" w:eastAsia="zh-CN" w:bidi="ar-SA"/>
        </w:rPr>
        <w:t>牵头组织</w:t>
      </w:r>
      <w:r>
        <w:rPr>
          <w:rFonts w:hint="eastAsia" w:ascii="仿宋_GB2312" w:hAnsi="Calibri" w:eastAsia="仿宋_GB2312"/>
          <w:snapToGrid w:val="0"/>
          <w:kern w:val="0"/>
          <w:szCs w:val="32"/>
        </w:rPr>
        <w:t>有关单位对该起事故责任追究和整</w:t>
      </w:r>
      <w:r>
        <w:rPr>
          <w:rFonts w:hint="eastAsia" w:ascii="仿宋_GB2312" w:hAnsi="Calibri" w:eastAsia="仿宋_GB2312"/>
          <w:snapToGrid w:val="0"/>
          <w:kern w:val="0"/>
          <w:szCs w:val="32"/>
          <w:lang w:eastAsia="zh-CN"/>
        </w:rPr>
        <w:t>改</w:t>
      </w:r>
      <w:r>
        <w:rPr>
          <w:rFonts w:hint="eastAsia" w:ascii="仿宋_GB2312" w:hAnsi="Calibri" w:eastAsia="仿宋_GB2312"/>
          <w:snapToGrid w:val="0"/>
          <w:kern w:val="0"/>
          <w:szCs w:val="32"/>
        </w:rPr>
        <w:t>措施落实情况进行了评估，现将有关情况报告如下：</w:t>
      </w:r>
    </w:p>
    <w:p w14:paraId="43608110">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黑体" w:hAnsi="黑体" w:eastAsia="黑体"/>
          <w:b w:val="0"/>
          <w:bCs/>
          <w:snapToGrid w:val="0"/>
          <w:kern w:val="0"/>
          <w:szCs w:val="32"/>
        </w:rPr>
      </w:pPr>
      <w:r>
        <w:rPr>
          <w:rFonts w:hint="eastAsia" w:ascii="黑体" w:hAnsi="黑体" w:eastAsia="黑体"/>
          <w:b w:val="0"/>
          <w:bCs/>
          <w:snapToGrid w:val="0"/>
          <w:kern w:val="0"/>
          <w:szCs w:val="32"/>
        </w:rPr>
        <w:t>一、评估工作组织及开展情况</w:t>
      </w:r>
    </w:p>
    <w:p w14:paraId="3CC51B8D">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仿宋_GB2312" w:hAnsi="Calibri" w:eastAsia="仿宋_GB2312"/>
          <w:snapToGrid w:val="0"/>
          <w:kern w:val="0"/>
          <w:szCs w:val="32"/>
        </w:rPr>
      </w:pPr>
      <w:r>
        <w:rPr>
          <w:rFonts w:hint="eastAsia" w:ascii="仿宋_GB2312" w:hAnsi="Calibri" w:eastAsia="仿宋_GB2312"/>
          <w:snapToGrid w:val="0"/>
          <w:kern w:val="0"/>
          <w:szCs w:val="32"/>
        </w:rPr>
        <w:t>评估组对照《事故调查报告》</w:t>
      </w:r>
      <w:r>
        <w:rPr>
          <w:rFonts w:hint="eastAsia" w:ascii="仿宋_GB2312" w:hAnsi="Calibri" w:eastAsia="仿宋_GB2312"/>
          <w:snapToGrid w:val="0"/>
          <w:kern w:val="0"/>
          <w:szCs w:val="32"/>
          <w:lang w:eastAsia="zh-CN"/>
        </w:rPr>
        <w:t>提出的责任追究及防范和整改措施建议，</w:t>
      </w:r>
      <w:r>
        <w:rPr>
          <w:rFonts w:hint="eastAsia" w:ascii="仿宋_GB2312" w:hAnsi="Calibri" w:eastAsia="仿宋_GB2312"/>
          <w:snapToGrid w:val="0"/>
          <w:kern w:val="0"/>
          <w:szCs w:val="32"/>
        </w:rPr>
        <w:t>深入事故相关</w:t>
      </w:r>
      <w:r>
        <w:rPr>
          <w:rFonts w:hint="eastAsia" w:ascii="仿宋_GB2312" w:hAnsi="Calibri" w:eastAsia="仿宋_GB2312"/>
          <w:snapToGrid w:val="0"/>
          <w:kern w:val="0"/>
          <w:szCs w:val="32"/>
          <w:lang w:eastAsia="zh-CN"/>
        </w:rPr>
        <w:t>责任企业和相关安全监管</w:t>
      </w:r>
      <w:r>
        <w:rPr>
          <w:rFonts w:hint="eastAsia" w:ascii="仿宋_GB2312" w:hAnsi="Calibri" w:eastAsia="仿宋_GB2312"/>
          <w:snapToGrid w:val="0"/>
          <w:kern w:val="0"/>
          <w:szCs w:val="32"/>
        </w:rPr>
        <w:t>部门，采取调阅事故原始档案、查阅相关文件资料、现场检查和听取汇报等方式，对事故责任追究</w:t>
      </w:r>
      <w:r>
        <w:rPr>
          <w:rFonts w:hint="eastAsia" w:ascii="仿宋_GB2312" w:hAnsi="Calibri" w:eastAsia="仿宋_GB2312"/>
          <w:snapToGrid w:val="0"/>
          <w:kern w:val="0"/>
          <w:szCs w:val="32"/>
          <w:lang w:eastAsia="zh-CN"/>
        </w:rPr>
        <w:t>和</w:t>
      </w:r>
      <w:r>
        <w:rPr>
          <w:rFonts w:hint="eastAsia" w:ascii="仿宋_GB2312" w:hAnsi="Calibri" w:eastAsia="仿宋_GB2312"/>
          <w:snapToGrid w:val="0"/>
          <w:kern w:val="0"/>
          <w:szCs w:val="32"/>
        </w:rPr>
        <w:t>整改措施落实情况开展了评估工作。对检查发现的问题，评估组现场进行了反馈，并要求立即进行整改。</w:t>
      </w:r>
    </w:p>
    <w:p w14:paraId="04E389AD">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黑体" w:hAnsi="黑体" w:eastAsia="黑体"/>
          <w:b w:val="0"/>
          <w:bCs/>
          <w:snapToGrid w:val="0"/>
          <w:kern w:val="0"/>
          <w:szCs w:val="32"/>
        </w:rPr>
      </w:pPr>
      <w:r>
        <w:rPr>
          <w:rFonts w:hint="eastAsia" w:ascii="黑体" w:hAnsi="黑体" w:eastAsia="黑体"/>
          <w:b w:val="0"/>
          <w:bCs/>
          <w:snapToGrid w:val="0"/>
          <w:kern w:val="0"/>
          <w:szCs w:val="32"/>
        </w:rPr>
        <w:t xml:space="preserve">二、事故责任人员责任追究落实情况 </w:t>
      </w:r>
    </w:p>
    <w:p w14:paraId="65ACC4BC">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Calibri" w:eastAsia="楷体_GB2312"/>
          <w:b/>
          <w:bCs/>
          <w:snapToGrid w:val="0"/>
          <w:kern w:val="0"/>
          <w:szCs w:val="32"/>
          <w:lang w:eastAsia="zh-CN"/>
        </w:rPr>
      </w:pPr>
      <w:r>
        <w:rPr>
          <w:rFonts w:hint="eastAsia" w:ascii="楷体_GB2312" w:hAnsi="Calibri" w:eastAsia="楷体_GB2312"/>
          <w:b/>
          <w:bCs/>
          <w:snapToGrid w:val="0"/>
          <w:kern w:val="0"/>
          <w:szCs w:val="32"/>
        </w:rPr>
        <w:t>（一）</w:t>
      </w:r>
      <w:r>
        <w:rPr>
          <w:rFonts w:hint="eastAsia" w:ascii="楷体_GB2312" w:hAnsi="Calibri" w:eastAsia="楷体_GB2312"/>
          <w:b/>
          <w:bCs/>
          <w:snapToGrid w:val="0"/>
          <w:kern w:val="0"/>
          <w:szCs w:val="32"/>
          <w:lang w:eastAsia="zh-CN"/>
        </w:rPr>
        <w:t>对司法机关已采取措施人员情况</w:t>
      </w:r>
    </w:p>
    <w:p w14:paraId="7891C62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eastAsia="zh-CN"/>
        </w:rPr>
        <w:t>事故调查报告中建议司法机关已采取措施</w:t>
      </w:r>
      <w:r>
        <w:rPr>
          <w:rFonts w:hint="eastAsia" w:ascii="仿宋_GB2312" w:hAnsi="仿宋_GB2312" w:eastAsia="仿宋_GB2312" w:cs="仿宋_GB2312"/>
          <w:szCs w:val="32"/>
          <w:lang w:val="en-US" w:eastAsia="zh-CN"/>
        </w:rPr>
        <w:t>1名人员处理到位；</w:t>
      </w:r>
    </w:p>
    <w:p w14:paraId="3DD9E3B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napToGrid w:val="0"/>
          <w:kern w:val="0"/>
          <w:szCs w:val="32"/>
          <w:lang w:val="en-US" w:eastAsia="zh-CN"/>
        </w:rPr>
      </w:pPr>
      <w:r>
        <w:rPr>
          <w:rFonts w:hint="eastAsia" w:ascii="仿宋_GB2312" w:hAnsi="仿宋_GB2312" w:eastAsia="仿宋_GB2312" w:cs="仿宋_GB2312"/>
          <w:snapToGrid w:val="0"/>
          <w:kern w:val="0"/>
          <w:szCs w:val="32"/>
          <w:lang w:eastAsia="zh-CN"/>
        </w:rPr>
        <w:t>崔聚才，晋</w:t>
      </w:r>
      <w:r>
        <w:rPr>
          <w:rFonts w:hint="eastAsia" w:ascii="仿宋_GB2312" w:hAnsi="仿宋_GB2312" w:eastAsia="仿宋_GB2312" w:cs="仿宋_GB2312"/>
          <w:snapToGrid w:val="0"/>
          <w:kern w:val="0"/>
          <w:szCs w:val="32"/>
          <w:lang w:val="en-US" w:eastAsia="zh-CN"/>
        </w:rPr>
        <w:t>JE9723号重型半挂牵引车驾驶人，于2023年8月5日被刑事拘留，9月6日被正式逮捕，9月10日被正式起诉，依法刑事拘留，批准逮捕。</w:t>
      </w:r>
    </w:p>
    <w:p w14:paraId="6A4A2835">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Calibri" w:eastAsia="楷体_GB2312"/>
          <w:b/>
          <w:bCs/>
          <w:snapToGrid w:val="0"/>
          <w:kern w:val="0"/>
          <w:szCs w:val="32"/>
          <w:lang w:eastAsia="zh-CN"/>
        </w:rPr>
      </w:pPr>
      <w:r>
        <w:rPr>
          <w:rFonts w:hint="eastAsia" w:ascii="楷体_GB2312" w:hAnsi="Calibri" w:eastAsia="楷体_GB2312"/>
          <w:b/>
          <w:bCs/>
          <w:snapToGrid w:val="0"/>
          <w:kern w:val="0"/>
          <w:szCs w:val="32"/>
        </w:rPr>
        <w:t>（二）</w:t>
      </w:r>
      <w:r>
        <w:rPr>
          <w:rFonts w:hint="eastAsia" w:ascii="楷体_GB2312" w:hAnsi="Calibri" w:eastAsia="楷体_GB2312"/>
          <w:b/>
          <w:bCs/>
          <w:snapToGrid w:val="0"/>
          <w:kern w:val="0"/>
          <w:szCs w:val="32"/>
          <w:lang w:eastAsia="zh-CN"/>
        </w:rPr>
        <w:t>对事故有关责任人员的处理情况</w:t>
      </w:r>
    </w:p>
    <w:p w14:paraId="1D8414E7">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eastAsia="zh-CN"/>
        </w:rPr>
        <w:t>事故调查报告中建议对事故有关</w:t>
      </w:r>
      <w:r>
        <w:rPr>
          <w:rFonts w:hint="eastAsia" w:ascii="仿宋_GB2312" w:hAnsi="Calibri" w:eastAsia="仿宋_GB2312"/>
          <w:snapToGrid w:val="0"/>
          <w:kern w:val="0"/>
          <w:szCs w:val="32"/>
          <w:lang w:val="en-US" w:eastAsia="zh-CN"/>
        </w:rPr>
        <w:t>1名责任人员处理到位；</w:t>
      </w:r>
    </w:p>
    <w:p w14:paraId="1D16AAFC">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高建雄，南泥湾交警大队大队长，于2024年1月10日，就事故信息上报不规范和认真汲取事故教训写出了书面检查。</w:t>
      </w:r>
    </w:p>
    <w:p w14:paraId="320D4AE5">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Calibri" w:eastAsia="楷体_GB2312"/>
          <w:b/>
          <w:bCs/>
          <w:snapToGrid w:val="0"/>
          <w:kern w:val="0"/>
          <w:szCs w:val="32"/>
        </w:rPr>
      </w:pPr>
      <w:r>
        <w:rPr>
          <w:rFonts w:hint="eastAsia" w:ascii="楷体_GB2312" w:hAnsi="Calibri" w:eastAsia="楷体_GB2312"/>
          <w:b/>
          <w:bCs/>
          <w:snapToGrid w:val="0"/>
          <w:kern w:val="0"/>
          <w:szCs w:val="32"/>
          <w:lang w:eastAsia="zh-CN"/>
        </w:rPr>
        <w:t>（三）</w:t>
      </w:r>
      <w:r>
        <w:rPr>
          <w:rFonts w:hint="eastAsia" w:ascii="楷体_GB2312" w:hAnsi="Calibri" w:eastAsia="楷体_GB2312"/>
          <w:b/>
          <w:bCs/>
          <w:snapToGrid w:val="0"/>
          <w:kern w:val="0"/>
          <w:szCs w:val="32"/>
        </w:rPr>
        <w:t xml:space="preserve">事故责任单位责任追究落实情况 </w:t>
      </w:r>
    </w:p>
    <w:p w14:paraId="4A2229D7">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pPr>
      <w:r>
        <w:rPr>
          <w:rFonts w:hint="eastAsia" w:ascii="仿宋_GB2312" w:hAnsi="Calibri" w:eastAsia="仿宋_GB2312"/>
          <w:snapToGrid w:val="0"/>
          <w:color w:val="auto"/>
          <w:kern w:val="0"/>
          <w:szCs w:val="32"/>
          <w:lang w:val="en-US" w:eastAsia="zh-CN"/>
        </w:rPr>
        <w:t>2023年12月，</w:t>
      </w:r>
      <w:r>
        <w:rPr>
          <w:rFonts w:hint="eastAsia" w:ascii="仿宋_GB2312" w:hAnsi="Calibri" w:eastAsia="仿宋_GB2312"/>
          <w:snapToGrid w:val="0"/>
          <w:kern w:val="0"/>
          <w:szCs w:val="32"/>
          <w:lang w:val="en-US" w:eastAsia="zh-CN"/>
        </w:rPr>
        <w:t>延安市人民政府对事故结案涉及汾阳市有关单位和人员处理，已给山西省汾阳市政府发函，建议调查处理，但至今未回复。</w:t>
      </w:r>
    </w:p>
    <w:p w14:paraId="185289D8">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Calibri" w:eastAsia="楷体_GB2312"/>
          <w:b/>
          <w:bCs/>
          <w:snapToGrid w:val="0"/>
          <w:kern w:val="0"/>
          <w:szCs w:val="32"/>
          <w:lang w:eastAsia="zh-CN"/>
        </w:rPr>
      </w:pPr>
      <w:r>
        <w:rPr>
          <w:rFonts w:hint="eastAsia" w:ascii="楷体_GB2312" w:hAnsi="Calibri" w:eastAsia="楷体_GB2312"/>
          <w:b/>
          <w:bCs/>
          <w:snapToGrid w:val="0"/>
          <w:kern w:val="0"/>
          <w:szCs w:val="32"/>
          <w:lang w:eastAsia="zh-CN"/>
        </w:rPr>
        <w:t>（四）事故发生属地政府责任追究情况</w:t>
      </w:r>
    </w:p>
    <w:p w14:paraId="0C79FBDE">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仿宋_GB2312" w:hAnsi="Calibri" w:eastAsia="仿宋_GB2312"/>
          <w:snapToGrid w:val="0"/>
          <w:kern w:val="0"/>
          <w:szCs w:val="32"/>
          <w:highlight w:val="none"/>
        </w:rPr>
      </w:pPr>
      <w:r>
        <w:rPr>
          <w:rFonts w:hint="eastAsia" w:ascii="仿宋_GB2312" w:hAnsi="Calibri" w:eastAsia="仿宋_GB2312"/>
          <w:snapToGrid w:val="0"/>
          <w:kern w:val="0"/>
          <w:szCs w:val="32"/>
          <w:highlight w:val="none"/>
          <w:lang w:eastAsia="zh-CN"/>
        </w:rPr>
        <w:t>事故发生后，延安市交安委于</w:t>
      </w:r>
      <w:r>
        <w:rPr>
          <w:rFonts w:hint="eastAsia" w:ascii="仿宋_GB2312" w:hAnsi="Calibri" w:eastAsia="仿宋_GB2312"/>
          <w:snapToGrid w:val="0"/>
          <w:kern w:val="0"/>
          <w:szCs w:val="32"/>
          <w:highlight w:val="none"/>
          <w:lang w:val="en-US" w:eastAsia="zh-CN"/>
        </w:rPr>
        <w:t>2023年12月</w:t>
      </w:r>
      <w:r>
        <w:rPr>
          <w:rFonts w:hint="eastAsia" w:ascii="仿宋_GB2312" w:hAnsi="Calibri" w:eastAsia="仿宋_GB2312"/>
          <w:snapToGrid w:val="0"/>
          <w:kern w:val="0"/>
          <w:szCs w:val="32"/>
          <w:highlight w:val="none"/>
          <w:lang w:eastAsia="zh-CN"/>
        </w:rPr>
        <w:t>对事故发生地宝塔区人民政府</w:t>
      </w:r>
      <w:r>
        <w:rPr>
          <w:rFonts w:hint="eastAsia" w:ascii="仿宋_GB2312" w:hAnsi="Calibri" w:eastAsia="仿宋_GB2312"/>
          <w:snapToGrid w:val="0"/>
          <w:kern w:val="0"/>
          <w:szCs w:val="32"/>
          <w:highlight w:val="none"/>
        </w:rPr>
        <w:t>进行了约谈。</w:t>
      </w:r>
    </w:p>
    <w:p w14:paraId="13EA242D">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黑体" w:hAnsi="黑体" w:eastAsia="黑体"/>
          <w:b/>
          <w:snapToGrid w:val="0"/>
          <w:kern w:val="0"/>
          <w:szCs w:val="32"/>
        </w:rPr>
      </w:pPr>
      <w:r>
        <w:rPr>
          <w:rFonts w:hint="eastAsia" w:ascii="黑体" w:hAnsi="黑体" w:eastAsia="黑体"/>
          <w:b w:val="0"/>
          <w:bCs/>
          <w:snapToGrid w:val="0"/>
          <w:kern w:val="0"/>
          <w:szCs w:val="32"/>
          <w:lang w:eastAsia="zh-CN"/>
        </w:rPr>
        <w:t>三</w:t>
      </w:r>
      <w:r>
        <w:rPr>
          <w:rFonts w:hint="eastAsia" w:ascii="黑体" w:hAnsi="黑体" w:eastAsia="黑体"/>
          <w:b w:val="0"/>
          <w:bCs/>
          <w:snapToGrid w:val="0"/>
          <w:kern w:val="0"/>
          <w:szCs w:val="32"/>
        </w:rPr>
        <w:t>、事故防范和整改措施落实情况</w:t>
      </w:r>
      <w:r>
        <w:rPr>
          <w:rFonts w:hint="eastAsia" w:ascii="黑体" w:hAnsi="黑体" w:eastAsia="黑体"/>
          <w:b/>
          <w:snapToGrid w:val="0"/>
          <w:kern w:val="0"/>
          <w:szCs w:val="32"/>
        </w:rPr>
        <w:t xml:space="preserve"> </w:t>
      </w:r>
    </w:p>
    <w:p w14:paraId="5D8E9BC1">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napToGrid w:val="0"/>
          <w:kern w:val="0"/>
          <w:szCs w:val="32"/>
          <w:lang w:val="en-US" w:eastAsia="zh-CN"/>
        </w:rPr>
      </w:pPr>
      <w:r>
        <w:rPr>
          <w:rFonts w:hint="eastAsia" w:ascii="楷体_GB2312" w:hAnsi="Calibri" w:eastAsia="楷体_GB2312"/>
          <w:b/>
          <w:bCs/>
          <w:snapToGrid w:val="0"/>
          <w:kern w:val="0"/>
          <w:szCs w:val="32"/>
          <w:lang w:eastAsia="zh-CN"/>
        </w:rPr>
        <w:t>（一）高度重视道路交通安全工作。</w:t>
      </w:r>
      <w:r>
        <w:rPr>
          <w:rFonts w:hint="eastAsia" w:ascii="仿宋_GB2312" w:hAnsi="仿宋_GB2312" w:eastAsia="仿宋_GB2312" w:cs="仿宋_GB2312"/>
          <w:szCs w:val="32"/>
          <w:lang w:eastAsia="zh-CN"/>
        </w:rPr>
        <w:t>宝塔区</w:t>
      </w:r>
      <w:r>
        <w:rPr>
          <w:rFonts w:hint="eastAsia" w:ascii="仿宋_GB2312" w:hAnsi="仿宋_GB2312" w:eastAsia="仿宋_GB2312" w:cs="仿宋_GB2312"/>
          <w:szCs w:val="32"/>
          <w:lang w:val="en-US" w:eastAsia="zh-CN"/>
        </w:rPr>
        <w:t>306省道</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napToGrid w:val="0"/>
          <w:kern w:val="0"/>
          <w:szCs w:val="32"/>
          <w:highlight w:val="none"/>
          <w:lang w:val="en-US" w:eastAsia="zh-CN"/>
        </w:rPr>
        <w:t>8</w:t>
      </w:r>
      <w:r>
        <w:rPr>
          <w:rFonts w:hint="eastAsia"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napToGrid w:val="0"/>
          <w:kern w:val="0"/>
          <w:szCs w:val="32"/>
          <w:highlight w:val="none"/>
          <w:lang w:val="en-US" w:eastAsia="zh-CN"/>
        </w:rPr>
        <w:t>4</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zCs w:val="32"/>
          <w:lang w:eastAsia="zh-CN"/>
        </w:rPr>
        <w:t>较大道路交通事故发生后，宝塔区委、区政府立即召开常委扩大会议和常务会议，开展</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napToGrid w:val="0"/>
          <w:kern w:val="0"/>
          <w:szCs w:val="32"/>
          <w:highlight w:val="none"/>
          <w:lang w:val="en-US" w:eastAsia="zh-CN"/>
        </w:rPr>
        <w:t>8</w:t>
      </w:r>
      <w:r>
        <w:rPr>
          <w:rFonts w:hint="eastAsia"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napToGrid w:val="0"/>
          <w:kern w:val="0"/>
          <w:szCs w:val="32"/>
          <w:highlight w:val="none"/>
          <w:lang w:val="en-US" w:eastAsia="zh-CN"/>
        </w:rPr>
        <w:t>4</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zCs w:val="32"/>
          <w:lang w:eastAsia="zh-CN"/>
        </w:rPr>
        <w:t>较大道路交通事故</w:t>
      </w:r>
      <w:r>
        <w:rPr>
          <w:rFonts w:hint="eastAsia" w:ascii="仿宋_GB2312" w:hAnsi="仿宋_GB2312" w:eastAsia="仿宋_GB2312" w:cs="仿宋_GB2312"/>
          <w:szCs w:val="32"/>
        </w:rPr>
        <w:t>警示教育，及时传达上级关于事故处置的批示要求，并组织</w:t>
      </w:r>
      <w:r>
        <w:rPr>
          <w:rFonts w:hint="eastAsia" w:ascii="仿宋_GB2312" w:hAnsi="仿宋_GB2312" w:eastAsia="仿宋_GB2312" w:cs="仿宋_GB2312"/>
          <w:szCs w:val="32"/>
          <w:lang w:eastAsia="zh-CN"/>
        </w:rPr>
        <w:t>区</w:t>
      </w:r>
      <w:r>
        <w:rPr>
          <w:rFonts w:hint="eastAsia" w:ascii="仿宋_GB2312" w:hAnsi="仿宋_GB2312" w:eastAsia="仿宋_GB2312" w:cs="仿宋_GB2312"/>
          <w:szCs w:val="32"/>
        </w:rPr>
        <w:t>交警、</w:t>
      </w:r>
      <w:r>
        <w:rPr>
          <w:rFonts w:hint="eastAsia" w:ascii="仿宋_GB2312" w:hAnsi="仿宋_GB2312" w:eastAsia="仿宋_GB2312" w:cs="仿宋_GB2312"/>
          <w:szCs w:val="32"/>
          <w:lang w:eastAsia="zh-CN"/>
        </w:rPr>
        <w:t>交运、</w:t>
      </w:r>
      <w:r>
        <w:rPr>
          <w:rFonts w:hint="eastAsia" w:ascii="仿宋_GB2312" w:hAnsi="仿宋_GB2312" w:eastAsia="仿宋_GB2312" w:cs="仿宋_GB2312"/>
          <w:szCs w:val="32"/>
        </w:rPr>
        <w:t>应急、</w:t>
      </w:r>
      <w:r>
        <w:rPr>
          <w:rFonts w:hint="eastAsia" w:ascii="仿宋_GB2312" w:hAnsi="仿宋_GB2312" w:eastAsia="仿宋_GB2312" w:cs="仿宋_GB2312"/>
          <w:szCs w:val="32"/>
          <w:lang w:eastAsia="zh-CN"/>
        </w:rPr>
        <w:t>纪委监委等单位认真开展分析研判和隐患大排查大整治，</w:t>
      </w:r>
      <w:r>
        <w:rPr>
          <w:rFonts w:hint="eastAsia" w:ascii="仿宋_GB2312" w:hAnsi="仿宋_GB2312" w:eastAsia="仿宋_GB2312" w:cs="仿宋_GB2312"/>
          <w:szCs w:val="32"/>
        </w:rPr>
        <w:t>结合事故暴露出的突出问题制定整改防范措施。</w:t>
      </w:r>
      <w:r>
        <w:rPr>
          <w:rFonts w:hint="eastAsia" w:ascii="仿宋_GB2312" w:hAnsi="仿宋_GB2312" w:eastAsia="仿宋_GB2312" w:cs="仿宋_GB2312"/>
          <w:snapToGrid w:val="0"/>
          <w:kern w:val="0"/>
          <w:szCs w:val="32"/>
          <w:lang w:val="en-US" w:eastAsia="zh-CN"/>
        </w:rPr>
        <w:t>各专委会、各部门要加强对习近平总书记关于安全生产重要论述的一系列指示批示精神的学习，牢固树立安全红线意识和底线意识。持续建立健全道路交通安全责任体系，严格落实“党政同责、一岗双责、齐抓共管、失职追责”和“管行业必须管安全，管业务必须管安全，管生产经营必须管安全”的总体要求。全面落实各行业、各部门、各环节的安全管理责任。要继续保持打非治违的高压态势，强化依法治理，采取强有力措施，全面排查整治事故隐患，严检查、严执法、严整改、严处罚、严落实，切实提高安全管理水平，坚决杜绝类似事故的发生。</w:t>
      </w:r>
    </w:p>
    <w:p w14:paraId="1A484047">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Calibri" w:eastAsia="楷体_GB2312"/>
          <w:b/>
          <w:bCs/>
          <w:snapToGrid w:val="0"/>
          <w:kern w:val="0"/>
          <w:szCs w:val="32"/>
          <w:lang w:val="en-US" w:eastAsia="zh-CN"/>
        </w:rPr>
        <w:t>(</w:t>
      </w:r>
      <w:r>
        <w:rPr>
          <w:rFonts w:hint="eastAsia" w:ascii="楷体_GB2312" w:hAnsi="Calibri" w:eastAsia="楷体_GB2312"/>
          <w:b/>
          <w:bCs/>
          <w:snapToGrid w:val="0"/>
          <w:kern w:val="0"/>
          <w:szCs w:val="32"/>
          <w:lang w:eastAsia="zh-CN"/>
        </w:rPr>
        <w:t>二）强化隐患排查治理。</w:t>
      </w:r>
      <w:r>
        <w:rPr>
          <w:rFonts w:hint="eastAsia" w:ascii="仿宋_GB2312" w:hAnsi="仿宋_GB2312" w:eastAsia="仿宋_GB2312" w:cs="仿宋_GB2312"/>
          <w:sz w:val="32"/>
          <w:szCs w:val="32"/>
          <w:lang w:val="en-US" w:eastAsia="zh-CN"/>
        </w:rPr>
        <w:t>宝塔区交安委要求各成员单位迅速对本单位领域内</w:t>
      </w:r>
      <w:r>
        <w:rPr>
          <w:rFonts w:hint="eastAsia" w:ascii="仿宋_GB2312" w:hAnsi="仿宋_GB2312" w:eastAsia="仿宋_GB2312" w:cs="仿宋_GB2312"/>
          <w:sz w:val="32"/>
          <w:szCs w:val="32"/>
          <w:highlight w:val="none"/>
          <w:lang w:val="en-US" w:eastAsia="zh-CN"/>
        </w:rPr>
        <w:t>涉及</w:t>
      </w:r>
      <w:r>
        <w:rPr>
          <w:rFonts w:hint="eastAsia" w:ascii="仿宋_GB2312" w:hAnsi="仿宋_GB2312" w:eastAsia="仿宋_GB2312" w:cs="仿宋_GB2312"/>
          <w:sz w:val="32"/>
          <w:szCs w:val="32"/>
          <w:lang w:val="en-US" w:eastAsia="zh-CN"/>
        </w:rPr>
        <w:t>的道路交通隐患进行积极排查，区交安委通过多次召开相关会议，推进隐患治理工作，通过定期检查、专项整治和集中排查等多种方式，重点排查治理防护设施缺失或防护能力不足的急弯陡坡、临水临崖、长大下坡、桥梁隧道等安全风险和穿村过镇、开口过多、平交路口、校园周边路段等突出隐患，</w:t>
      </w:r>
      <w:r>
        <w:rPr>
          <w:rFonts w:hint="eastAsia" w:ascii="仿宋_GB2312" w:hAnsi="仿宋_GB2312" w:eastAsia="仿宋_GB2312" w:cs="仿宋_GB2312"/>
          <w:sz w:val="32"/>
          <w:szCs w:val="32"/>
          <w:highlight w:val="none"/>
          <w:lang w:val="en-US" w:eastAsia="zh-CN"/>
        </w:rPr>
        <w:t>对于排查出的道路安全隐患，及时</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val="en-US" w:eastAsia="zh-CN"/>
        </w:rPr>
        <w:t>向当地政府以及相关部门进行上报，做到责任落实、查改同步、建档销号等一系列要求，确保隐患治理工作落到实处、取得实效。2024年共排查出公路安全隐患96处，已整改26处，剩余70处未整改的安全隐患已采取临时措施，待申请资金到位后进行整治。</w:t>
      </w:r>
    </w:p>
    <w:p w14:paraId="37E64F96">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Cs w:val="32"/>
        </w:rPr>
      </w:pPr>
      <w:r>
        <w:rPr>
          <w:rFonts w:hint="eastAsia" w:ascii="楷体_GB2312" w:hAnsi="Calibri" w:eastAsia="楷体_GB2312"/>
          <w:b/>
          <w:bCs/>
          <w:snapToGrid w:val="0"/>
          <w:kern w:val="0"/>
          <w:szCs w:val="32"/>
          <w:lang w:val="en-US" w:eastAsia="zh-CN"/>
        </w:rPr>
        <w:t>（三）强化路面管控。</w:t>
      </w:r>
      <w:r>
        <w:rPr>
          <w:rFonts w:hint="eastAsia" w:ascii="仿宋_GB2312" w:hAnsi="仿宋_GB2312" w:eastAsia="仿宋_GB2312" w:cs="仿宋_GB2312"/>
          <w:sz w:val="32"/>
          <w:szCs w:val="32"/>
          <w:lang w:val="en-US" w:eastAsia="zh-CN"/>
        </w:rPr>
        <w:t>针对</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napToGrid w:val="0"/>
          <w:kern w:val="0"/>
          <w:szCs w:val="32"/>
          <w:highlight w:val="none"/>
          <w:lang w:val="en-US" w:eastAsia="zh-CN"/>
        </w:rPr>
        <w:t>8</w:t>
      </w:r>
      <w:r>
        <w:rPr>
          <w:rFonts w:hint="eastAsia"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napToGrid w:val="0"/>
          <w:kern w:val="0"/>
          <w:szCs w:val="32"/>
          <w:highlight w:val="none"/>
          <w:lang w:val="en-US" w:eastAsia="zh-CN"/>
        </w:rPr>
        <w:t>4</w:t>
      </w:r>
      <w:r>
        <w:rPr>
          <w:rFonts w:hint="eastAsia" w:ascii="仿宋_GB2312" w:hAnsi="仿宋_GB2312" w:eastAsia="仿宋_GB2312" w:cs="仿宋_GB2312"/>
          <w:snapToGrid w:val="0"/>
          <w:kern w:val="0"/>
          <w:szCs w:val="32"/>
          <w:highlight w:val="none"/>
        </w:rPr>
        <w:t>”</w:t>
      </w:r>
      <w:r>
        <w:rPr>
          <w:rFonts w:hint="eastAsia" w:ascii="仿宋_GB2312" w:hAnsi="仿宋_GB2312" w:eastAsia="仿宋_GB2312" w:cs="仿宋_GB2312"/>
          <w:szCs w:val="32"/>
          <w:lang w:eastAsia="zh-CN"/>
        </w:rPr>
        <w:t>较大道路交通事故</w:t>
      </w:r>
      <w:r>
        <w:rPr>
          <w:rFonts w:hint="eastAsia" w:ascii="仿宋_GB2312" w:hAnsi="仿宋_GB2312" w:eastAsia="仿宋_GB2312" w:cs="仿宋_GB2312"/>
          <w:sz w:val="32"/>
          <w:szCs w:val="32"/>
          <w:lang w:val="en-US" w:eastAsia="zh-CN"/>
        </w:rPr>
        <w:t>,宝塔区交安委要求各成员单位吸取事故教训、总结事故经验。各交警大队</w:t>
      </w:r>
      <w:r>
        <w:rPr>
          <w:rFonts w:hint="eastAsia" w:ascii="仿宋_GB2312" w:hAnsi="仿宋_GB2312" w:eastAsia="仿宋_GB2312" w:cs="仿宋_GB2312"/>
          <w:sz w:val="32"/>
        </w:rPr>
        <w:t>以“减量控大”工作为主线，</w:t>
      </w:r>
      <w:r>
        <w:rPr>
          <w:rFonts w:hint="eastAsia" w:ascii="仿宋_GB2312" w:hAnsi="仿宋_GB2312" w:eastAsia="仿宋_GB2312" w:cs="仿宋_GB2312"/>
          <w:sz w:val="32"/>
          <w:szCs w:val="32"/>
          <w:lang w:val="en-US" w:eastAsia="zh-CN"/>
        </w:rPr>
        <w:t>深入分析研判辖区道路通行的风险点，紧盯客货运车辆“三超一疲劳”违法行为，重点针对城市工程运输车、国省道客、货运车辆及农村道路重点违法行为展开查处，通过设卡设点检查与路面巡逻相结合，加大一早一晚及周末、节假日等重点时段和事故多发高发、违法乱象突出等重点路段的巡逻检查频次和密度。2024年至今，交警部门共查处重点违法：疲劳驾驶565起，超速336起、货车超载762起、货车违法载人15起、载客汽车超员82起、酒醉驾1148起。</w:t>
      </w:r>
    </w:p>
    <w:p w14:paraId="034AA4AD">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Cs w:val="32"/>
        </w:rPr>
      </w:pPr>
      <w:r>
        <w:rPr>
          <w:rFonts w:hint="eastAsia" w:ascii="楷体_GB2312" w:hAnsi="Calibri" w:eastAsia="楷体_GB2312"/>
          <w:b/>
          <w:bCs/>
          <w:snapToGrid w:val="0"/>
          <w:kern w:val="0"/>
          <w:szCs w:val="32"/>
          <w:lang w:val="en-US" w:eastAsia="zh-CN"/>
        </w:rPr>
        <w:t>（四）强化宣传教育。</w:t>
      </w:r>
      <w:r>
        <w:rPr>
          <w:rFonts w:hint="eastAsia" w:ascii="仿宋_GB2312" w:hAnsi="仿宋_GB2312" w:eastAsia="仿宋_GB2312" w:cs="仿宋_GB2312"/>
          <w:sz w:val="32"/>
          <w:szCs w:val="32"/>
          <w:lang w:val="en-US" w:eastAsia="zh-CN"/>
        </w:rPr>
        <w:t>宝塔区交安委要求</w:t>
      </w:r>
      <w:r>
        <w:rPr>
          <w:rFonts w:hint="eastAsia" w:ascii="仿宋_GB2312" w:hAnsi="仿宋_GB2312" w:eastAsia="仿宋_GB2312" w:cs="仿宋_GB2312"/>
          <w:sz w:val="32"/>
          <w:szCs w:val="32"/>
        </w:rPr>
        <w:t>各成员单位、各乡镇街办</w:t>
      </w:r>
      <w:r>
        <w:rPr>
          <w:rFonts w:hint="eastAsia" w:ascii="仿宋_GB2312" w:hAnsi="仿宋_GB2312" w:eastAsia="仿宋_GB2312" w:cs="仿宋_GB2312"/>
          <w:sz w:val="32"/>
          <w:szCs w:val="32"/>
          <w:lang w:eastAsia="zh-CN"/>
        </w:rPr>
        <w:t>要结合</w:t>
      </w:r>
      <w:r>
        <w:rPr>
          <w:rFonts w:hint="eastAsia" w:ascii="仿宋_GB2312" w:hAnsi="仿宋_GB2312" w:eastAsia="仿宋_GB2312" w:cs="仿宋_GB2312"/>
          <w:sz w:val="32"/>
          <w:szCs w:val="32"/>
          <w:lang w:val="en-US" w:eastAsia="zh-CN"/>
        </w:rPr>
        <w:t>本行业工作特征以及辖区实际情况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持续推进道路交通安全宣传工作</w:t>
      </w:r>
      <w:r>
        <w:rPr>
          <w:rFonts w:hint="eastAsia" w:ascii="仿宋_GB2312" w:hAnsi="仿宋_GB2312" w:eastAsia="仿宋_GB2312" w:cs="仿宋_GB2312"/>
          <w:sz w:val="32"/>
          <w:szCs w:val="32"/>
          <w:lang w:eastAsia="zh-CN"/>
        </w:rPr>
        <w:t>，充分借助电视广播、双微平台等媒介，广泛宣传酒驾醉驾整治行动、“</w:t>
      </w:r>
      <w:r>
        <w:rPr>
          <w:rFonts w:hint="eastAsia" w:ascii="仿宋_GB2312" w:hAnsi="仿宋_GB2312" w:eastAsia="仿宋_GB2312" w:cs="仿宋_GB2312"/>
          <w:sz w:val="32"/>
          <w:szCs w:val="32"/>
          <w:lang w:val="en-US" w:eastAsia="zh-CN"/>
        </w:rPr>
        <w:t>三超一疲劳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整治行动。针对农村道路，充分发挥“两站两员”作用，采取守点、巡线等方式，按照“七必上”工作要求，在重要节假日、学生上放学、红白喜事出行、恶劣天气等时段开展宣传劝导。充分利用乡规民约对村民易忽略的交通陋习、易触及的交通违法行为进行规范引导和约束，切实提高村民的道路交通安全风险防范意识。</w:t>
      </w:r>
    </w:p>
    <w:p w14:paraId="5BA36EC5">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黑体" w:hAnsi="黑体" w:eastAsia="黑体"/>
          <w:b w:val="0"/>
          <w:bCs/>
          <w:snapToGrid w:val="0"/>
          <w:kern w:val="0"/>
          <w:szCs w:val="32"/>
        </w:rPr>
      </w:pPr>
      <w:r>
        <w:rPr>
          <w:rFonts w:hint="eastAsia" w:ascii="黑体" w:hAnsi="黑体" w:eastAsia="黑体"/>
          <w:b w:val="0"/>
          <w:bCs/>
          <w:snapToGrid w:val="0"/>
          <w:kern w:val="0"/>
          <w:szCs w:val="32"/>
          <w:lang w:eastAsia="zh-CN"/>
        </w:rPr>
        <w:t>四</w:t>
      </w:r>
      <w:r>
        <w:rPr>
          <w:rFonts w:hint="eastAsia" w:ascii="黑体" w:hAnsi="黑体" w:eastAsia="黑体"/>
          <w:b w:val="0"/>
          <w:bCs/>
          <w:snapToGrid w:val="0"/>
          <w:kern w:val="0"/>
          <w:szCs w:val="32"/>
        </w:rPr>
        <w:t>、</w:t>
      </w:r>
      <w:r>
        <w:rPr>
          <w:rFonts w:hint="eastAsia" w:ascii="黑体" w:hAnsi="黑体" w:eastAsia="黑体"/>
          <w:b w:val="0"/>
          <w:bCs/>
          <w:snapToGrid w:val="0"/>
          <w:kern w:val="0"/>
          <w:szCs w:val="32"/>
          <w:lang w:eastAsia="zh-CN"/>
        </w:rPr>
        <w:t>下一步工作要求和</w:t>
      </w:r>
      <w:r>
        <w:rPr>
          <w:rFonts w:hint="eastAsia" w:ascii="黑体" w:hAnsi="黑体" w:eastAsia="黑体"/>
          <w:b w:val="0"/>
          <w:bCs/>
          <w:snapToGrid w:val="0"/>
          <w:kern w:val="0"/>
          <w:szCs w:val="32"/>
        </w:rPr>
        <w:t xml:space="preserve">措施建议 </w:t>
      </w:r>
    </w:p>
    <w:p w14:paraId="424716B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当前，正值安全生产治本攻坚行动开展之际，宝塔区政府及相关部门要充分认清当前道路交通安全的严峻形势，进一步强化措施，夯实责任，切实抓好当前道路交通安全治本攻坚工作，确保全市道路交通安全形势稳定。</w:t>
      </w:r>
    </w:p>
    <w:p w14:paraId="560AB74D">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Calibri" w:eastAsia="仿宋_GB2312"/>
          <w:snapToGrid w:val="0"/>
          <w:kern w:val="0"/>
          <w:szCs w:val="32"/>
          <w:lang w:val="en-US" w:eastAsia="zh-CN"/>
        </w:rPr>
      </w:pPr>
      <w:r>
        <w:rPr>
          <w:rFonts w:hint="eastAsia" w:ascii="楷体_GB2312" w:hAnsi="Calibri" w:eastAsia="楷体_GB2312" w:cs="Times New Roman"/>
          <w:b/>
          <w:bCs/>
          <w:snapToGrid w:val="0"/>
          <w:kern w:val="0"/>
          <w:szCs w:val="32"/>
          <w:lang w:val="en-US" w:eastAsia="zh-CN"/>
        </w:rPr>
        <w:t>一要提高政治站位。</w:t>
      </w:r>
      <w:r>
        <w:rPr>
          <w:rFonts w:hint="eastAsia" w:ascii="仿宋_GB2312" w:hAnsi="Calibri" w:eastAsia="仿宋_GB2312"/>
          <w:snapToGrid w:val="0"/>
          <w:kern w:val="0"/>
          <w:szCs w:val="32"/>
          <w:lang w:val="en-US" w:eastAsia="zh-CN"/>
        </w:rPr>
        <w:t>要认真研判辖区道路交通安全新形势，全警动员，精心组织，周密部署，以高度的责任感、使命感和紧迫感，积极主动投入到道路交通事故预防工作中，忠实履责，努力把预防道路交通事故的各项措施真正落到实处。</w:t>
      </w:r>
    </w:p>
    <w:p w14:paraId="11E9B8F6">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Calibri" w:eastAsia="仿宋_GB2312"/>
          <w:snapToGrid w:val="0"/>
          <w:kern w:val="0"/>
          <w:szCs w:val="32"/>
          <w:lang w:val="en-US" w:eastAsia="zh-CN"/>
        </w:rPr>
      </w:pPr>
      <w:r>
        <w:rPr>
          <w:rFonts w:hint="eastAsia" w:ascii="楷体_GB2312" w:hAnsi="Calibri" w:eastAsia="楷体_GB2312" w:cs="Times New Roman"/>
          <w:b/>
          <w:bCs/>
          <w:snapToGrid w:val="0"/>
          <w:kern w:val="0"/>
          <w:szCs w:val="32"/>
          <w:lang w:val="en-US" w:eastAsia="zh-CN"/>
        </w:rPr>
        <w:t>二要加强重型货车安全监管。</w:t>
      </w:r>
      <w:r>
        <w:rPr>
          <w:rFonts w:hint="eastAsia" w:ascii="仿宋_GB2312" w:hAnsi="Calibri" w:eastAsia="仿宋_GB2312"/>
          <w:snapToGrid w:val="0"/>
          <w:kern w:val="0"/>
          <w:szCs w:val="32"/>
          <w:lang w:val="en-US" w:eastAsia="zh-CN"/>
        </w:rPr>
        <w:t>要强化重点车辆安全监管力度，督促企业严格落实安全生产主体责任，加强源头安全隐患排查整改，全力消除安全隐患。要加强重点车辆管控力度，重点查处超速、超载、疲劳驾驶和不按规定车道行驶等严重交通违法行为，始终保持高压严管态势。</w:t>
      </w:r>
    </w:p>
    <w:p w14:paraId="47059CFD">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Calibri" w:eastAsia="仿宋_GB2312"/>
          <w:snapToGrid w:val="0"/>
          <w:kern w:val="0"/>
          <w:szCs w:val="32"/>
          <w:lang w:val="en-US" w:eastAsia="zh-CN"/>
        </w:rPr>
      </w:pPr>
      <w:r>
        <w:rPr>
          <w:rFonts w:hint="eastAsia" w:ascii="楷体_GB2312" w:hAnsi="Calibri" w:eastAsia="楷体_GB2312" w:cs="Times New Roman"/>
          <w:b/>
          <w:bCs/>
          <w:snapToGrid w:val="0"/>
          <w:kern w:val="0"/>
          <w:szCs w:val="32"/>
          <w:lang w:val="en-US" w:eastAsia="zh-CN"/>
        </w:rPr>
        <w:t>三要加强面包车安全管控。</w:t>
      </w:r>
      <w:r>
        <w:rPr>
          <w:rFonts w:hint="eastAsia" w:ascii="仿宋_GB2312" w:hAnsi="Calibri" w:eastAsia="仿宋_GB2312"/>
          <w:snapToGrid w:val="0"/>
          <w:kern w:val="0"/>
          <w:szCs w:val="32"/>
          <w:lang w:val="en-US" w:eastAsia="zh-CN"/>
        </w:rPr>
        <w:t>要针对农村务农、城市建筑务工人员集中运送中存在的突出问题，制定具体应对措施。要强化对城乡结合部、农村集市、夜市以及劳务市场、建筑工地等周边道路的管控力度，重点查处乡村道路面包车超员、超速、酒驾醉驾、疲劳驾驶和农用车、货车非法载人等严重交通违法行为，严管重罚，切实做到“零容忍”。</w:t>
      </w:r>
    </w:p>
    <w:p w14:paraId="6ED69BA3">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ascii="黑体" w:hAnsi="黑体" w:eastAsia="黑体"/>
          <w:b w:val="0"/>
          <w:bCs/>
          <w:snapToGrid w:val="0"/>
          <w:kern w:val="0"/>
          <w:szCs w:val="32"/>
        </w:rPr>
      </w:pPr>
      <w:r>
        <w:rPr>
          <w:rFonts w:hint="eastAsia" w:ascii="黑体" w:hAnsi="黑体" w:eastAsia="黑体"/>
          <w:b w:val="0"/>
          <w:bCs/>
          <w:snapToGrid w:val="0"/>
          <w:kern w:val="0"/>
          <w:szCs w:val="32"/>
          <w:lang w:eastAsia="zh-CN"/>
        </w:rPr>
        <w:t>五</w:t>
      </w:r>
      <w:r>
        <w:rPr>
          <w:rFonts w:hint="eastAsia" w:ascii="黑体" w:hAnsi="黑体" w:eastAsia="黑体"/>
          <w:b w:val="0"/>
          <w:bCs/>
          <w:snapToGrid w:val="0"/>
          <w:kern w:val="0"/>
          <w:szCs w:val="32"/>
        </w:rPr>
        <w:t xml:space="preserve">、评估组评估意见 </w:t>
      </w:r>
    </w:p>
    <w:p w14:paraId="03FB3FD8">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alibri" w:eastAsia="仿宋_GB2312"/>
          <w:snapToGrid w:val="0"/>
          <w:kern w:val="0"/>
          <w:szCs w:val="32"/>
        </w:rPr>
      </w:pPr>
      <w:r>
        <w:rPr>
          <w:rFonts w:hint="eastAsia" w:ascii="仿宋_GB2312" w:hAnsi="Calibri" w:eastAsia="仿宋_GB2312"/>
          <w:snapToGrid w:val="0"/>
          <w:kern w:val="0"/>
          <w:szCs w:val="32"/>
          <w:lang w:val="en-US" w:eastAsia="zh-CN"/>
        </w:rPr>
        <w:t>评估组经综合评估后一致认为，宝塔区人民政府及相关单位均能依据市政府批复意见，按照“四不放过”原则，严肃处理相关责任人员，深刻汲取事故教训，认识到安全生产的重要性。有关单位和企业均能认真汲取事故教训，按照事故调查报告的要求建章立制，查漏补缺，落实事故各项防范和整改措施，有效提升了全区道路交通安全管理水平。</w:t>
      </w:r>
    </w:p>
    <w:p w14:paraId="7D23C106">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alibri" w:eastAsia="仿宋_GB2312" w:cs="Times New Roman"/>
          <w:snapToGrid w:val="0"/>
          <w:kern w:val="0"/>
          <w:szCs w:val="32"/>
        </w:rPr>
      </w:pPr>
    </w:p>
    <w:p w14:paraId="1C02AD0C">
      <w:pPr>
        <w:keepNext w:val="0"/>
        <w:keepLines w:val="0"/>
        <w:pageBreakBefore w:val="0"/>
        <w:kinsoku/>
        <w:wordWrap/>
        <w:overflowPunct/>
        <w:topLinePunct w:val="0"/>
        <w:autoSpaceDE/>
        <w:autoSpaceDN/>
        <w:bidi w:val="0"/>
        <w:adjustRightInd/>
        <w:snapToGrid/>
        <w:spacing w:line="540" w:lineRule="exact"/>
        <w:jc w:val="left"/>
        <w:textAlignment w:val="auto"/>
        <w:rPr>
          <w:rFonts w:ascii="仿宋_GB2312" w:hAnsi="Calibri" w:eastAsia="仿宋_GB2312"/>
          <w:snapToGrid w:val="0"/>
          <w:kern w:val="0"/>
          <w:szCs w:val="32"/>
        </w:rPr>
      </w:pPr>
    </w:p>
    <w:p w14:paraId="04577CC0">
      <w:pPr>
        <w:keepNext w:val="0"/>
        <w:keepLines w:val="0"/>
        <w:pageBreakBefore w:val="0"/>
        <w:kinsoku/>
        <w:wordWrap/>
        <w:overflowPunct/>
        <w:topLinePunct w:val="0"/>
        <w:autoSpaceDE/>
        <w:autoSpaceDN/>
        <w:bidi w:val="0"/>
        <w:adjustRightInd/>
        <w:snapToGrid/>
        <w:spacing w:line="540" w:lineRule="exact"/>
        <w:ind w:firstLine="3520" w:firstLineChars="1100"/>
        <w:jc w:val="left"/>
        <w:textAlignment w:val="auto"/>
        <w:rPr>
          <w:rFonts w:ascii="仿宋_GB2312" w:hAnsi="Calibri" w:eastAsia="仿宋_GB2312"/>
          <w:snapToGrid w:val="0"/>
          <w:kern w:val="0"/>
          <w:szCs w:val="32"/>
        </w:rPr>
      </w:pPr>
      <w:r>
        <w:rPr>
          <w:rFonts w:hint="eastAsia" w:ascii="仿宋_GB2312" w:hAnsi="Calibri" w:eastAsia="仿宋_GB2312"/>
          <w:snapToGrid w:val="0"/>
          <w:kern w:val="0"/>
          <w:szCs w:val="32"/>
        </w:rPr>
        <w:t>延安市安全生产委员会办公室</w:t>
      </w:r>
    </w:p>
    <w:p w14:paraId="732A4F97">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alibri" w:eastAsia="仿宋_GB2312"/>
          <w:snapToGrid w:val="0"/>
          <w:kern w:val="0"/>
          <w:szCs w:val="32"/>
        </w:rPr>
      </w:pPr>
      <w:r>
        <w:rPr>
          <w:rFonts w:ascii="仿宋_GB2312" w:hAnsi="Calibri" w:eastAsia="仿宋_GB2312"/>
          <w:snapToGrid w:val="0"/>
          <w:kern w:val="0"/>
          <w:szCs w:val="32"/>
        </w:rPr>
        <w:t xml:space="preserve">                  </w:t>
      </w:r>
      <w:r>
        <w:rPr>
          <w:rFonts w:hint="eastAsia" w:ascii="仿宋_GB2312" w:hAnsi="Calibri" w:eastAsia="仿宋_GB2312"/>
          <w:snapToGrid w:val="0"/>
          <w:kern w:val="0"/>
          <w:szCs w:val="32"/>
          <w:lang w:val="en-US" w:eastAsia="zh-CN"/>
        </w:rPr>
        <w:t xml:space="preserve">    </w:t>
      </w:r>
      <w:r>
        <w:rPr>
          <w:rFonts w:ascii="仿宋_GB2312" w:hAnsi="Calibri" w:eastAsia="仿宋_GB2312"/>
          <w:snapToGrid w:val="0"/>
          <w:kern w:val="0"/>
          <w:szCs w:val="32"/>
        </w:rPr>
        <w:t>202</w:t>
      </w:r>
      <w:r>
        <w:rPr>
          <w:rFonts w:hint="eastAsia" w:ascii="仿宋_GB2312" w:hAnsi="Calibri" w:eastAsia="仿宋_GB2312"/>
          <w:snapToGrid w:val="0"/>
          <w:kern w:val="0"/>
          <w:szCs w:val="32"/>
          <w:lang w:val="en-US" w:eastAsia="zh-CN"/>
        </w:rPr>
        <w:t>4</w:t>
      </w:r>
      <w:r>
        <w:rPr>
          <w:rFonts w:hint="eastAsia" w:ascii="仿宋_GB2312" w:hAnsi="Calibri" w:eastAsia="仿宋_GB2312"/>
          <w:snapToGrid w:val="0"/>
          <w:kern w:val="0"/>
          <w:szCs w:val="32"/>
        </w:rPr>
        <w:t>年</w:t>
      </w:r>
      <w:r>
        <w:rPr>
          <w:rFonts w:hint="eastAsia" w:ascii="仿宋_GB2312" w:hAnsi="Calibri" w:eastAsia="仿宋_GB2312"/>
          <w:snapToGrid w:val="0"/>
          <w:kern w:val="0"/>
          <w:szCs w:val="32"/>
          <w:lang w:val="en-US" w:eastAsia="zh-CN"/>
        </w:rPr>
        <w:t>12</w:t>
      </w:r>
      <w:r>
        <w:rPr>
          <w:rFonts w:hint="eastAsia" w:ascii="仿宋_GB2312" w:hAnsi="Calibri" w:eastAsia="仿宋_GB2312"/>
          <w:snapToGrid w:val="0"/>
          <w:kern w:val="0"/>
          <w:szCs w:val="32"/>
        </w:rPr>
        <w:t>月</w:t>
      </w:r>
      <w:r>
        <w:rPr>
          <w:rFonts w:hint="eastAsia" w:ascii="仿宋_GB2312" w:hAnsi="Calibri" w:eastAsia="仿宋_GB2312"/>
          <w:snapToGrid w:val="0"/>
          <w:kern w:val="0"/>
          <w:szCs w:val="32"/>
          <w:lang w:val="en-US" w:eastAsia="zh-CN"/>
        </w:rPr>
        <w:t>10</w:t>
      </w:r>
      <w:r>
        <w:rPr>
          <w:rFonts w:hint="eastAsia" w:ascii="仿宋_GB2312" w:hAnsi="Calibri" w:eastAsia="仿宋_GB2312"/>
          <w:snapToGrid w:val="0"/>
          <w:kern w:val="0"/>
          <w:szCs w:val="32"/>
        </w:rPr>
        <w:t>日</w:t>
      </w:r>
    </w:p>
    <w:p w14:paraId="4E50FA0C">
      <w:pPr>
        <w:pStyle w:val="3"/>
        <w:rPr>
          <w:rFonts w:hint="eastAsia" w:ascii="仿宋_GB2312" w:hAnsi="Calibri" w:eastAsia="仿宋_GB2312"/>
          <w:snapToGrid w:val="0"/>
          <w:kern w:val="0"/>
          <w:szCs w:val="32"/>
        </w:rPr>
      </w:pPr>
    </w:p>
    <w:p w14:paraId="7DB87B54">
      <w:pPr>
        <w:rPr>
          <w:rFonts w:hint="eastAsia" w:ascii="仿宋_GB2312" w:hAnsi="Calibri" w:eastAsia="仿宋_GB2312"/>
          <w:snapToGrid w:val="0"/>
          <w:kern w:val="0"/>
          <w:szCs w:val="32"/>
        </w:rPr>
      </w:pPr>
    </w:p>
    <w:p w14:paraId="131B7877">
      <w:pPr>
        <w:rPr>
          <w:rFonts w:hint="eastAsia" w:ascii="仿宋_GB2312" w:hAnsi="Calibri" w:eastAsia="仿宋_GB2312"/>
          <w:snapToGrid w:val="0"/>
          <w:kern w:val="0"/>
          <w:szCs w:val="32"/>
        </w:rPr>
      </w:pPr>
    </w:p>
    <w:p w14:paraId="3C07A4AD">
      <w:pPr>
        <w:pStyle w:val="3"/>
        <w:rPr>
          <w:rFonts w:hint="eastAsia" w:ascii="仿宋_GB2312" w:hAnsi="Calibri" w:eastAsia="仿宋_GB2312"/>
          <w:snapToGrid w:val="0"/>
          <w:kern w:val="0"/>
          <w:szCs w:val="32"/>
        </w:rPr>
      </w:pPr>
    </w:p>
    <w:p w14:paraId="5888CAD8">
      <w:pPr>
        <w:spacing w:line="560" w:lineRule="exact"/>
        <w:ind w:firstLine="640" w:firstLineChars="200"/>
        <w:jc w:val="left"/>
        <w:rPr>
          <w:rFonts w:hint="eastAsia" w:ascii="仿宋_GB2312" w:hAnsi="Calibri" w:eastAsia="仿宋_GB2312"/>
          <w:snapToGrid w:val="0"/>
          <w:kern w:val="0"/>
          <w:szCs w:val="32"/>
          <w:lang w:eastAsia="zh-CN"/>
        </w:rPr>
      </w:pPr>
      <w:r>
        <w:rPr>
          <w:rFonts w:hint="eastAsia" w:ascii="仿宋_GB2312" w:hAnsi="Calibri" w:eastAsia="仿宋_GB2312"/>
          <w:snapToGrid w:val="0"/>
          <w:kern w:val="0"/>
          <w:szCs w:val="32"/>
          <w:lang w:eastAsia="zh-CN"/>
        </w:rPr>
        <w:t>（</w:t>
      </w:r>
      <w:r>
        <w:rPr>
          <w:rFonts w:hint="eastAsia" w:ascii="仿宋_GB2312" w:hAnsi="Calibri" w:eastAsia="仿宋_GB2312" w:cs="Times New Roman"/>
          <w:snapToGrid w:val="0"/>
          <w:kern w:val="0"/>
          <w:szCs w:val="32"/>
          <w:lang w:eastAsia="zh-CN"/>
        </w:rPr>
        <w:t>联系人：贺慧</w:t>
      </w:r>
      <w:r>
        <w:rPr>
          <w:rFonts w:hint="eastAsia" w:ascii="仿宋_GB2312" w:hAnsi="Calibri" w:eastAsia="仿宋_GB2312" w:cs="Times New Roman"/>
          <w:snapToGrid w:val="0"/>
          <w:kern w:val="0"/>
          <w:szCs w:val="32"/>
          <w:lang w:val="en-US" w:eastAsia="zh-CN"/>
        </w:rPr>
        <w:t xml:space="preserve">     联系电话：7091156</w:t>
      </w:r>
      <w:r>
        <w:rPr>
          <w:rFonts w:hint="eastAsia" w:ascii="仿宋_GB2312" w:hAnsi="Calibri" w:eastAsia="仿宋_GB2312"/>
          <w:snapToGrid w:val="0"/>
          <w:kern w:val="0"/>
          <w:szCs w:val="32"/>
          <w:lang w:eastAsia="zh-CN"/>
        </w:rPr>
        <w:t>）</w:t>
      </w:r>
    </w:p>
    <w:p w14:paraId="66B7CF43">
      <w:pPr>
        <w:spacing w:line="560" w:lineRule="exact"/>
        <w:jc w:val="left"/>
        <w:rPr>
          <w:rFonts w:hint="eastAsia" w:ascii="仿宋_GB2312" w:hAnsi="Calibri" w:eastAsia="仿宋_GB2312"/>
          <w:snapToGrid w:val="0"/>
          <w:kern w:val="0"/>
          <w:szCs w:val="32"/>
          <w:lang w:eastAsia="zh-CN"/>
        </w:rPr>
      </w:pPr>
      <w:bookmarkStart w:id="0" w:name="_GoBack"/>
      <w:bookmarkEnd w:id="0"/>
    </w:p>
    <w:p w14:paraId="3D347F92">
      <w:pPr>
        <w:pStyle w:val="3"/>
        <w:rPr>
          <w:rFonts w:hint="eastAsia" w:ascii="仿宋_GB2312" w:hAnsi="Calibri" w:eastAsia="仿宋_GB2312"/>
          <w:snapToGrid w:val="0"/>
          <w:kern w:val="0"/>
          <w:szCs w:val="32"/>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3360" behindDoc="1" locked="0" layoutInCell="1" allowOverlap="1">
                <wp:simplePos x="0" y="0"/>
                <wp:positionH relativeFrom="column">
                  <wp:posOffset>-6350</wp:posOffset>
                </wp:positionH>
                <wp:positionV relativeFrom="paragraph">
                  <wp:posOffset>74930</wp:posOffset>
                </wp:positionV>
                <wp:extent cx="5715000"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headEnd type="none" w="med" len="med"/>
                          <a:tailEnd type="non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_x0000_s1026" o:spid="_x0000_s1026" o:spt="20" style="position:absolute;left:0pt;margin-left:-0.5pt;margin-top:5.9pt;height:0pt;width:450pt;z-index:-251653120;mso-width-relative:page;mso-height-relative:page;" filled="f" stroked="t" coordsize="21600,21600" o:gfxdata="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KKZI+1gAAAAgBAAAPAAAAAAAAAAEAIAAAACIA&#10;AABkcnMvZG93bnJldi54bWxQSwECFAAUAAAACACHTuJA6S1MUAsCAAASBAAADgAAAAAAAAABACAA&#10;AAAlAQAAZHJzL2Uyb0RvYy54bWxQSwUGAAAAAAYABgBZAQAAogUAAAAA&#10;">
                <v:fill on="f" focussize="0,0"/>
                <v:stroke weight="1pt" color="#000000 [3213]" miterlimit="8" joinstyle="miter"/>
                <v:imagedata o:title=""/>
                <o:lock v:ext="edit" aspectratio="f"/>
              </v:line>
            </w:pict>
          </mc:Fallback>
        </mc:AlternateContent>
      </w:r>
    </w:p>
    <w:p w14:paraId="2BD1B200">
      <w:pPr>
        <w:spacing w:line="560" w:lineRule="exact"/>
        <w:ind w:left="1280" w:leftChars="100" w:hanging="960" w:hangingChars="300"/>
        <w:jc w:val="left"/>
        <w:rPr>
          <w:rFonts w:hint="eastAsia" w:ascii="仿宋_GB2312" w:hAnsi="Calibri" w:eastAsia="仿宋_GB2312"/>
          <w:snapToGrid w:val="0"/>
          <w:kern w:val="0"/>
          <w:szCs w:val="32"/>
          <w:lang w:eastAsia="zh-CN"/>
        </w:rPr>
      </w:pPr>
      <w:r>
        <w:rPr>
          <w:rFonts w:hint="eastAsia" w:ascii="仿宋_GB2312" w:hAnsi="Calibri" w:eastAsia="仿宋_GB2312"/>
          <w:snapToGrid w:val="0"/>
          <w:kern w:val="0"/>
          <w:szCs w:val="32"/>
          <w:lang w:eastAsia="zh-CN"/>
        </w:rPr>
        <w:t>抄送：省安委办，市纪委监委、交通运输局、总工会、</w:t>
      </w:r>
    </w:p>
    <w:p w14:paraId="78246283">
      <w:pPr>
        <w:spacing w:line="560" w:lineRule="exact"/>
        <w:ind w:left="1280" w:leftChars="400" w:firstLine="0" w:firstLineChars="0"/>
        <w:jc w:val="left"/>
        <w:rPr>
          <w:rFonts w:hint="eastAsia"/>
          <w:lang w:val="en-US" w:eastAsia="zh-CN"/>
        </w:rPr>
      </w:pPr>
      <w:r>
        <w:rPr>
          <w:rFonts w:hint="eastAsia" w:ascii="仿宋_GB2312" w:hAnsi="Calibri" w:eastAsia="仿宋_GB2312"/>
          <w:snapToGrid w:val="0"/>
          <w:kern w:val="0"/>
          <w:szCs w:val="32"/>
          <w:lang w:eastAsia="zh-CN"/>
        </w:rPr>
        <w:t>公安交警支队，</w:t>
      </w:r>
      <w:r>
        <w:rPr>
          <w:rFonts w:hint="eastAsia" w:ascii="仿宋_GB2312" w:hAnsi="Calibri" w:eastAsia="仿宋_GB2312"/>
          <w:snapToGrid w:val="0"/>
          <w:kern w:val="0"/>
          <w:szCs w:val="32"/>
          <w:lang w:val="en-US" w:eastAsia="zh-CN"/>
        </w:rPr>
        <w:t>宝塔区</w:t>
      </w:r>
      <w:r>
        <w:rPr>
          <w:rFonts w:hint="eastAsia" w:ascii="仿宋_GB2312" w:hAnsi="Calibri" w:eastAsia="仿宋_GB2312"/>
          <w:snapToGrid w:val="0"/>
          <w:kern w:val="0"/>
          <w:szCs w:val="32"/>
          <w:lang w:eastAsia="zh-CN"/>
        </w:rPr>
        <w:t>人民政府。</w:t>
      </w:r>
    </w:p>
    <w:p w14:paraId="19C03DAF">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368935</wp:posOffset>
                </wp:positionV>
                <wp:extent cx="5715000" cy="0"/>
                <wp:effectExtent l="0" t="6350" r="0" b="6350"/>
                <wp:wrapNone/>
                <wp:docPr id="3" name="直接连接符 3"/>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headEnd type="none" w="med" len="med"/>
                          <a:tailEnd type="non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_x0000_s1026" o:spid="_x0000_s1026" o:spt="20" style="position:absolute;left:0pt;margin-left:0pt;margin-top:29.05pt;height:0pt;width:450pt;z-index:251662336;mso-width-relative:page;mso-height-relative:page;" filled="f" stroked="t" coordsize="21600,21600" o:gfxdata="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ZiwcDVAAAABgEAAA8AAAAAAAAAAQAgAAAAIgAA&#10;AGRycy9kb3ducmV2LnhtbFBLAQIUABQAAAAIAIdO4kDRcFkiCwIAABIEAAAOAAAAAAAAAAEAIAAA&#10;ACQBAABkcnMvZTJvRG9jLnhtbFBLBQYAAAAABgAGAFkBAACh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254635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pt;margin-top:20.05pt;height:0pt;width:0.05pt;z-index:251661312;mso-width-relative:page;mso-height-relative:page;" filled="f" stroked="t" coordsize="21600,21600" o:gfxdata="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WHqSY1AAAAAcBAAAPAAAAAAAAAAEAIAAAACIAAABkcnMvZG93bnJldi54bWxQSwECFAAU&#10;AAAACACHTuJAhJwmnvUBAADuAwAADgAAAAAAAAABACAAAAAjAQAAZHJzL2Uyb0RvYy54bWxQSwUG&#10;AAAAAAYABgBZAQAAigU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5715000" cy="0"/>
                <wp:effectExtent l="0" t="6350" r="0" b="6350"/>
                <wp:wrapNone/>
                <wp:docPr id="4" name="直接连接符 4"/>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headEnd type="none" w="med" len="med"/>
                          <a:tailEnd type="non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_x0000_s1026" o:spid="_x0000_s1026" o:spt="20" style="position:absolute;left:0pt;margin-left:0pt;margin-top:0pt;height:0pt;width:450pt;z-index:-251656192;mso-width-relative:page;mso-height-relative:page;" filled="f" stroked="t" coordsize="21600,21600" o:gfxdata="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&#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em3EzSAAAAAgEAAA8AAAAAAAAAAQAgAAAAIgAAAGRy&#10;cy9kb3ducmV2LnhtbFBLAQIUABQAAAAIAIdO4kCitZrxCwIAABIEAAAOAAAAAAAAAAEAIAAAACEB&#10;AABkcnMvZTJvRG9jLnhtbFBLBQYAAAAABgAGAFkBAACe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z w:val="28"/>
          <w:szCs w:val="28"/>
          <w:lang w:val="en-US" w:eastAsia="zh-CN"/>
        </w:rPr>
        <w:t xml:space="preserve">延安市安全生产委员会办公室           </w:t>
      </w:r>
      <w:r>
        <w:rPr>
          <w:rFonts w:hint="eastAsia" w:ascii="仿宋_GB2312" w:hAnsi="仿宋_GB2312" w:eastAsia="仿宋_GB2312" w:cs="仿宋_GB2312"/>
          <w:b w:val="0"/>
          <w:bCs w:val="0"/>
          <w:sz w:val="28"/>
          <w:szCs w:val="28"/>
        </w:rPr>
        <w:t>20</w:t>
      </w:r>
      <w:r>
        <w:rPr>
          <w:rFonts w:hint="eastAsia" w:ascii="仿宋_GB2312" w:hAnsi="仿宋_GB2312" w:eastAsia="仿宋_GB2312" w:cs="仿宋_GB2312"/>
          <w:b w:val="0"/>
          <w:bCs w:val="0"/>
          <w:sz w:val="28"/>
          <w:szCs w:val="28"/>
          <w:lang w:val="en-US" w:eastAsia="zh-CN"/>
        </w:rPr>
        <w:t>24</w:t>
      </w:r>
      <w:r>
        <w:rPr>
          <w:rFonts w:hint="eastAsia" w:ascii="仿宋_GB2312" w:hAnsi="仿宋_GB2312" w:eastAsia="仿宋_GB2312" w:cs="仿宋_GB2312"/>
          <w:b w:val="0"/>
          <w:bCs w:val="0"/>
          <w:sz w:val="28"/>
          <w:szCs w:val="28"/>
        </w:rPr>
        <w:t>年</w:t>
      </w:r>
      <w:r>
        <w:rPr>
          <w:rFonts w:hint="eastAsia" w:ascii="仿宋_GB2312" w:hAnsi="仿宋_GB2312" w:eastAsia="仿宋_GB2312" w:cs="仿宋_GB2312"/>
          <w:b w:val="0"/>
          <w:bCs w:val="0"/>
          <w:sz w:val="28"/>
          <w:szCs w:val="28"/>
          <w:lang w:val="en-US" w:eastAsia="zh-CN"/>
        </w:rPr>
        <w:t>12</w:t>
      </w:r>
      <w:r>
        <w:rPr>
          <w:rFonts w:hint="eastAsia" w:ascii="仿宋_GB2312" w:hAnsi="仿宋_GB2312" w:eastAsia="仿宋_GB2312" w:cs="仿宋_GB2312"/>
          <w:b w:val="0"/>
          <w:bCs w:val="0"/>
          <w:sz w:val="28"/>
          <w:szCs w:val="28"/>
        </w:rPr>
        <w:t>月</w:t>
      </w:r>
      <w:r>
        <w:rPr>
          <w:rFonts w:hint="eastAsia" w:ascii="仿宋_GB2312" w:hAnsi="仿宋_GB2312" w:eastAsia="仿宋_GB2312" w:cs="仿宋_GB2312"/>
          <w:b w:val="0"/>
          <w:bCs w:val="0"/>
          <w:sz w:val="28"/>
          <w:szCs w:val="28"/>
          <w:lang w:val="en-US" w:eastAsia="zh-CN"/>
        </w:rPr>
        <w:t>10</w:t>
      </w:r>
      <w:r>
        <w:rPr>
          <w:rFonts w:hint="eastAsia" w:ascii="仿宋_GB2312" w:hAnsi="仿宋_GB2312" w:eastAsia="仿宋_GB2312" w:cs="仿宋_GB2312"/>
          <w:b w:val="0"/>
          <w:bCs w:val="0"/>
          <w:sz w:val="28"/>
          <w:szCs w:val="28"/>
        </w:rPr>
        <w:t>日印发</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D227">
    <w:pPr>
      <w:pStyle w:val="3"/>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-314960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宋体" w:hAnsi="宋体" w:eastAsia="宋体" w:cs="宋体"/>
                              <w:sz w:val="28"/>
                              <w:szCs w:val="28"/>
                            </w:rPr>
                            <w:id w:val="31014450"/>
                            <w:docPartObj>
                              <w:docPartGallery w:val="autotext"/>
                            </w:docPartObj>
                          </w:sdtPr>
                          <w:sdtEndPr>
                            <w:rPr>
                              <w:rFonts w:hint="eastAsia" w:ascii="宋体" w:hAnsi="宋体" w:eastAsia="宋体" w:cs="宋体"/>
                              <w:sz w:val="28"/>
                              <w:szCs w:val="28"/>
                            </w:rPr>
                          </w:sdtEndPr>
                          <w:sdtContent>
                            <w:p w14:paraId="74F518A8">
                              <w:pPr>
                                <w:pStyle w:val="3"/>
                                <w:jc w:val="right"/>
                                <w:rPr>
                                  <w:rFonts w:hint="eastAsia" w:ascii="宋体" w:hAnsi="宋体" w:eastAsia="宋体" w:cs="宋体"/>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   \* MERGEFORMAT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lang w:val="zh-CN"/>
                                </w:rPr>
                                <w:t>-</w:t>
                              </w:r>
                              <w:r>
                                <w:rPr>
                                  <w:rFonts w:hint="eastAsia" w:ascii="宋体" w:hAnsi="宋体" w:eastAsia="宋体" w:cs="宋体"/>
                                  <w:b w:val="0"/>
                                  <w:bCs/>
                                  <w:sz w:val="28"/>
                                  <w:szCs w:val="28"/>
                                </w:rPr>
                                <w:t xml:space="preserve"> 4 -</w:t>
                              </w:r>
                              <w:r>
                                <w:rPr>
                                  <w:rFonts w:hint="eastAsia" w:ascii="宋体" w:hAnsi="宋体" w:eastAsia="宋体" w:cs="宋体"/>
                                  <w:b w:val="0"/>
                                  <w:bCs/>
                                  <w:sz w:val="28"/>
                                  <w:szCs w:val="28"/>
                                </w:rPr>
                                <w:fldChar w:fldCharType="end"/>
                              </w:r>
                            </w:p>
                          </w:sdtContent>
                        </w:sdt>
                        <w:p w14:paraId="2441AE4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8pt;height:144pt;width:144pt;mso-position-horizontal:outside;mso-position-horizontal-relative:margin;mso-wrap-style:none;z-index:251659264;mso-width-relative:page;mso-height-relative:page;" filled="f" stroked="f" coordsize="21600,21600" o:gfxdata="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jdoxfWAAAACA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sdt>
                    <w:sdtPr>
                      <w:rPr>
                        <w:rFonts w:hint="eastAsia" w:ascii="宋体" w:hAnsi="宋体" w:eastAsia="宋体" w:cs="宋体"/>
                        <w:sz w:val="28"/>
                        <w:szCs w:val="28"/>
                      </w:rPr>
                      <w:id w:val="31014450"/>
                      <w:docPartObj>
                        <w:docPartGallery w:val="autotext"/>
                      </w:docPartObj>
                    </w:sdtPr>
                    <w:sdtEndPr>
                      <w:rPr>
                        <w:rFonts w:hint="eastAsia" w:ascii="宋体" w:hAnsi="宋体" w:eastAsia="宋体" w:cs="宋体"/>
                        <w:sz w:val="28"/>
                        <w:szCs w:val="28"/>
                      </w:rPr>
                    </w:sdtEndPr>
                    <w:sdtContent>
                      <w:p w14:paraId="74F518A8">
                        <w:pPr>
                          <w:pStyle w:val="3"/>
                          <w:jc w:val="right"/>
                          <w:rPr>
                            <w:rFonts w:hint="eastAsia" w:ascii="宋体" w:hAnsi="宋体" w:eastAsia="宋体" w:cs="宋体"/>
                            <w:sz w:val="28"/>
                            <w:szCs w:val="28"/>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 PAGE   \* MERGEFORMAT </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lang w:val="zh-CN"/>
                          </w:rPr>
                          <w:t>-</w:t>
                        </w:r>
                        <w:r>
                          <w:rPr>
                            <w:rFonts w:hint="eastAsia" w:ascii="宋体" w:hAnsi="宋体" w:eastAsia="宋体" w:cs="宋体"/>
                            <w:b w:val="0"/>
                            <w:bCs/>
                            <w:sz w:val="28"/>
                            <w:szCs w:val="28"/>
                          </w:rPr>
                          <w:t xml:space="preserve"> 4 -</w:t>
                        </w:r>
                        <w:r>
                          <w:rPr>
                            <w:rFonts w:hint="eastAsia" w:ascii="宋体" w:hAnsi="宋体" w:eastAsia="宋体" w:cs="宋体"/>
                            <w:b w:val="0"/>
                            <w:bCs/>
                            <w:sz w:val="28"/>
                            <w:szCs w:val="28"/>
                          </w:rPr>
                          <w:fldChar w:fldCharType="end"/>
                        </w:r>
                      </w:p>
                    </w:sdtContent>
                  </w:sdt>
                  <w:p w14:paraId="2441AE4F"/>
                </w:txbxContent>
              </v:textbox>
            </v:shape>
          </w:pict>
        </mc:Fallback>
      </mc:AlternateContent>
    </w:r>
  </w:p>
  <w:p w14:paraId="10B2BC4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wOWYwNjI5M2E1NTk1ZDFjNDE4MjdjMGZiMjcwMTgifQ=="/>
  </w:docVars>
  <w:rsids>
    <w:rsidRoot w:val="00605BF8"/>
    <w:rsid w:val="00022868"/>
    <w:rsid w:val="00025A70"/>
    <w:rsid w:val="000831A6"/>
    <w:rsid w:val="000A395A"/>
    <w:rsid w:val="001B79A2"/>
    <w:rsid w:val="002678D1"/>
    <w:rsid w:val="0033203F"/>
    <w:rsid w:val="00375596"/>
    <w:rsid w:val="00386373"/>
    <w:rsid w:val="00423F4A"/>
    <w:rsid w:val="00431A60"/>
    <w:rsid w:val="00453846"/>
    <w:rsid w:val="00510AA9"/>
    <w:rsid w:val="005B58FA"/>
    <w:rsid w:val="00605BF8"/>
    <w:rsid w:val="00610719"/>
    <w:rsid w:val="006338B4"/>
    <w:rsid w:val="007C5268"/>
    <w:rsid w:val="007D451C"/>
    <w:rsid w:val="0082135F"/>
    <w:rsid w:val="00851A32"/>
    <w:rsid w:val="008B32FF"/>
    <w:rsid w:val="0090039E"/>
    <w:rsid w:val="00961BD5"/>
    <w:rsid w:val="009F07DB"/>
    <w:rsid w:val="00B42CD3"/>
    <w:rsid w:val="00BB3016"/>
    <w:rsid w:val="00C1746C"/>
    <w:rsid w:val="00C65284"/>
    <w:rsid w:val="00CE0B0B"/>
    <w:rsid w:val="00E00B0A"/>
    <w:rsid w:val="00E146C5"/>
    <w:rsid w:val="00E1479F"/>
    <w:rsid w:val="00E41AEF"/>
    <w:rsid w:val="00E5108D"/>
    <w:rsid w:val="00ED6700"/>
    <w:rsid w:val="00FD05BC"/>
    <w:rsid w:val="00FF0896"/>
    <w:rsid w:val="014632E9"/>
    <w:rsid w:val="015B3238"/>
    <w:rsid w:val="01D32DCE"/>
    <w:rsid w:val="01DD1E9F"/>
    <w:rsid w:val="03261624"/>
    <w:rsid w:val="036B5288"/>
    <w:rsid w:val="038A3960"/>
    <w:rsid w:val="03A04F32"/>
    <w:rsid w:val="0532605E"/>
    <w:rsid w:val="06B331CE"/>
    <w:rsid w:val="06F51A39"/>
    <w:rsid w:val="072D4D2F"/>
    <w:rsid w:val="085E716A"/>
    <w:rsid w:val="09B039F5"/>
    <w:rsid w:val="0A7D7D7B"/>
    <w:rsid w:val="0D86163D"/>
    <w:rsid w:val="0E097B78"/>
    <w:rsid w:val="0E2D3866"/>
    <w:rsid w:val="0E572FD9"/>
    <w:rsid w:val="0E6D0107"/>
    <w:rsid w:val="0F2F1860"/>
    <w:rsid w:val="0F7B6853"/>
    <w:rsid w:val="0F8971C2"/>
    <w:rsid w:val="10757746"/>
    <w:rsid w:val="11164A85"/>
    <w:rsid w:val="116577BB"/>
    <w:rsid w:val="123A0C48"/>
    <w:rsid w:val="124F46F3"/>
    <w:rsid w:val="126D6927"/>
    <w:rsid w:val="12902616"/>
    <w:rsid w:val="129F0AAB"/>
    <w:rsid w:val="12BA7692"/>
    <w:rsid w:val="1384217A"/>
    <w:rsid w:val="140D6614"/>
    <w:rsid w:val="15634378"/>
    <w:rsid w:val="1594066F"/>
    <w:rsid w:val="166B13D0"/>
    <w:rsid w:val="170A0BE8"/>
    <w:rsid w:val="17614581"/>
    <w:rsid w:val="17FF6273"/>
    <w:rsid w:val="18075128"/>
    <w:rsid w:val="1824217E"/>
    <w:rsid w:val="18BF5A03"/>
    <w:rsid w:val="19EB4B80"/>
    <w:rsid w:val="1BB27AA1"/>
    <w:rsid w:val="1BCD0437"/>
    <w:rsid w:val="1D497F91"/>
    <w:rsid w:val="1D644DCB"/>
    <w:rsid w:val="1E2D340E"/>
    <w:rsid w:val="1F6B41EE"/>
    <w:rsid w:val="1FC81641"/>
    <w:rsid w:val="21C127EB"/>
    <w:rsid w:val="221044FC"/>
    <w:rsid w:val="22603DB2"/>
    <w:rsid w:val="22794E74"/>
    <w:rsid w:val="23C55DD7"/>
    <w:rsid w:val="23C93BD9"/>
    <w:rsid w:val="244A6AC8"/>
    <w:rsid w:val="259D70CC"/>
    <w:rsid w:val="260D5FFF"/>
    <w:rsid w:val="27F54F9D"/>
    <w:rsid w:val="28A95D87"/>
    <w:rsid w:val="29165EEE"/>
    <w:rsid w:val="294855A0"/>
    <w:rsid w:val="2959155B"/>
    <w:rsid w:val="298A3E0B"/>
    <w:rsid w:val="29934A6D"/>
    <w:rsid w:val="29D86924"/>
    <w:rsid w:val="2A1262DA"/>
    <w:rsid w:val="2A420242"/>
    <w:rsid w:val="2A8B3997"/>
    <w:rsid w:val="2AA637A1"/>
    <w:rsid w:val="2C31056E"/>
    <w:rsid w:val="2D2A393B"/>
    <w:rsid w:val="2D8A6187"/>
    <w:rsid w:val="2DDE64D3"/>
    <w:rsid w:val="2E0F48DF"/>
    <w:rsid w:val="2FFE2E5D"/>
    <w:rsid w:val="30274161"/>
    <w:rsid w:val="309335A5"/>
    <w:rsid w:val="318A2BFA"/>
    <w:rsid w:val="32171FB4"/>
    <w:rsid w:val="32764F2C"/>
    <w:rsid w:val="32C20171"/>
    <w:rsid w:val="32D81743"/>
    <w:rsid w:val="32F26CA9"/>
    <w:rsid w:val="338D4C23"/>
    <w:rsid w:val="33E83C08"/>
    <w:rsid w:val="349A13A6"/>
    <w:rsid w:val="34DB551B"/>
    <w:rsid w:val="37256F21"/>
    <w:rsid w:val="37335AE2"/>
    <w:rsid w:val="3747378F"/>
    <w:rsid w:val="37607F59"/>
    <w:rsid w:val="37BD53AB"/>
    <w:rsid w:val="381256F7"/>
    <w:rsid w:val="39A131D7"/>
    <w:rsid w:val="3B343BD6"/>
    <w:rsid w:val="3B392F9B"/>
    <w:rsid w:val="3C21415B"/>
    <w:rsid w:val="3C236125"/>
    <w:rsid w:val="3C333E8E"/>
    <w:rsid w:val="3C627CD3"/>
    <w:rsid w:val="3CFD4BC8"/>
    <w:rsid w:val="3E6E11AD"/>
    <w:rsid w:val="3ED731F7"/>
    <w:rsid w:val="3F93711E"/>
    <w:rsid w:val="407707ED"/>
    <w:rsid w:val="40970E8F"/>
    <w:rsid w:val="41200E85"/>
    <w:rsid w:val="43E048FB"/>
    <w:rsid w:val="442850AD"/>
    <w:rsid w:val="44A45929"/>
    <w:rsid w:val="44AB6CB7"/>
    <w:rsid w:val="45350C77"/>
    <w:rsid w:val="46303A88"/>
    <w:rsid w:val="46AE2A8F"/>
    <w:rsid w:val="46C44060"/>
    <w:rsid w:val="46DC75FC"/>
    <w:rsid w:val="473D3E13"/>
    <w:rsid w:val="47503B46"/>
    <w:rsid w:val="47AF6ABF"/>
    <w:rsid w:val="47C05A64"/>
    <w:rsid w:val="47D209FF"/>
    <w:rsid w:val="481608EC"/>
    <w:rsid w:val="4860600B"/>
    <w:rsid w:val="48F52BF7"/>
    <w:rsid w:val="495D254A"/>
    <w:rsid w:val="49BA174B"/>
    <w:rsid w:val="4A1E1CDA"/>
    <w:rsid w:val="4A7E09CA"/>
    <w:rsid w:val="4AAA17BF"/>
    <w:rsid w:val="4AB83EDC"/>
    <w:rsid w:val="4C9646F1"/>
    <w:rsid w:val="4D1A0E7E"/>
    <w:rsid w:val="4D36558C"/>
    <w:rsid w:val="4DCA28A4"/>
    <w:rsid w:val="4DDC4386"/>
    <w:rsid w:val="4E6332C9"/>
    <w:rsid w:val="50C07F8E"/>
    <w:rsid w:val="515D3A2F"/>
    <w:rsid w:val="51C07B1A"/>
    <w:rsid w:val="51D52CAA"/>
    <w:rsid w:val="537D5CC3"/>
    <w:rsid w:val="53DB0C3B"/>
    <w:rsid w:val="54183C3E"/>
    <w:rsid w:val="549A4653"/>
    <w:rsid w:val="54F55D2D"/>
    <w:rsid w:val="56222B52"/>
    <w:rsid w:val="56AB0D99"/>
    <w:rsid w:val="56BF4844"/>
    <w:rsid w:val="570D735E"/>
    <w:rsid w:val="57F4051E"/>
    <w:rsid w:val="58256929"/>
    <w:rsid w:val="5878114F"/>
    <w:rsid w:val="589F0489"/>
    <w:rsid w:val="58CD3249"/>
    <w:rsid w:val="5A074538"/>
    <w:rsid w:val="5AE45375"/>
    <w:rsid w:val="5BC14BBB"/>
    <w:rsid w:val="5BDE751B"/>
    <w:rsid w:val="5C0A0310"/>
    <w:rsid w:val="5C1D44E7"/>
    <w:rsid w:val="5C7010C8"/>
    <w:rsid w:val="5CF3349A"/>
    <w:rsid w:val="5DCB137D"/>
    <w:rsid w:val="5E231B5D"/>
    <w:rsid w:val="5F6661A5"/>
    <w:rsid w:val="5F687883"/>
    <w:rsid w:val="5FA840C8"/>
    <w:rsid w:val="5FBF7663"/>
    <w:rsid w:val="60116111"/>
    <w:rsid w:val="60730B79"/>
    <w:rsid w:val="61565DA5"/>
    <w:rsid w:val="61F47A98"/>
    <w:rsid w:val="625C73EB"/>
    <w:rsid w:val="63F35B2D"/>
    <w:rsid w:val="64A31301"/>
    <w:rsid w:val="65143FAD"/>
    <w:rsid w:val="651D2E62"/>
    <w:rsid w:val="656960A7"/>
    <w:rsid w:val="65856C59"/>
    <w:rsid w:val="65C47781"/>
    <w:rsid w:val="669929BC"/>
    <w:rsid w:val="66D93700"/>
    <w:rsid w:val="66EF082E"/>
    <w:rsid w:val="66F61BBC"/>
    <w:rsid w:val="67335513"/>
    <w:rsid w:val="67530DBD"/>
    <w:rsid w:val="676905E0"/>
    <w:rsid w:val="683E4B1B"/>
    <w:rsid w:val="69205616"/>
    <w:rsid w:val="6A2151A2"/>
    <w:rsid w:val="6B460C38"/>
    <w:rsid w:val="6BC56001"/>
    <w:rsid w:val="6C67530A"/>
    <w:rsid w:val="6C726189"/>
    <w:rsid w:val="6CD31260"/>
    <w:rsid w:val="6D123257"/>
    <w:rsid w:val="6D6A6E60"/>
    <w:rsid w:val="6ECB1B80"/>
    <w:rsid w:val="701E2184"/>
    <w:rsid w:val="721101F2"/>
    <w:rsid w:val="722C2936"/>
    <w:rsid w:val="72BB3CBA"/>
    <w:rsid w:val="72BD3ED6"/>
    <w:rsid w:val="72E83F25"/>
    <w:rsid w:val="72F316A6"/>
    <w:rsid w:val="73045661"/>
    <w:rsid w:val="73651C4B"/>
    <w:rsid w:val="73CD639B"/>
    <w:rsid w:val="73EF1E6D"/>
    <w:rsid w:val="749D7B1B"/>
    <w:rsid w:val="7634625D"/>
    <w:rsid w:val="76726095"/>
    <w:rsid w:val="76EE28B0"/>
    <w:rsid w:val="76FD2AF3"/>
    <w:rsid w:val="76FF686B"/>
    <w:rsid w:val="770519A8"/>
    <w:rsid w:val="773D55E5"/>
    <w:rsid w:val="77DC4DFE"/>
    <w:rsid w:val="796706F8"/>
    <w:rsid w:val="7A7E3F4B"/>
    <w:rsid w:val="7ACA0E24"/>
    <w:rsid w:val="7B890DF9"/>
    <w:rsid w:val="7BB57E40"/>
    <w:rsid w:val="7BEC1388"/>
    <w:rsid w:val="7C9A0DE4"/>
    <w:rsid w:val="7CD6006E"/>
    <w:rsid w:val="7CEC251A"/>
    <w:rsid w:val="7D0F532E"/>
    <w:rsid w:val="7E617E0B"/>
    <w:rsid w:val="7EE06F82"/>
    <w:rsid w:val="7F8C7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nhideWhenUsed="0" w:uiPriority="99" w:semiHidden="0"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Times New Roman" w:hAnsi="Times New Roman" w:eastAsia="宋体" w:cs="Times New Roman"/>
    </w:rPr>
  </w:style>
  <w:style w:type="paragraph" w:styleId="3">
    <w:name w:val="footer"/>
    <w:basedOn w:val="1"/>
    <w:next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2824</Words>
  <Characters>2923</Characters>
  <Lines>18</Lines>
  <Paragraphs>5</Paragraphs>
  <TotalTime>14</TotalTime>
  <ScaleCrop>false</ScaleCrop>
  <LinksUpToDate>false</LinksUpToDate>
  <CharactersWithSpaces>2983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2020-08-27T07:20:00Z</dcterms:created>
  <dc:creator>bxl</dc:creator>
  <cp:lastModifiedBy>虾米</cp:lastModifiedBy>
  <cp:lastPrinted>2024-12-10T08:56:24Z</cp:lastPrinted>
  <dcterms:modified xsi:type="dcterms:W3CDTF">2024-12-10T08:56:30Z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370F0F3CD14042FBBAECD85F3EB8A78F_13</vt:lpwstr>
  </property>
</Properties>
</file>