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D493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sz w:val="44"/>
          <w:szCs w:val="44"/>
        </w:rPr>
      </w:pPr>
    </w:p>
    <w:p w14:paraId="212D0624">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14:paraId="57F380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延安市安全生产委员会办公室</w:t>
      </w:r>
    </w:p>
    <w:p w14:paraId="0DC684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关于</w:t>
      </w:r>
      <w:r>
        <w:rPr>
          <w:rFonts w:hint="eastAsia" w:ascii="方正小标宋_GBK" w:hAnsi="方正小标宋_GBK" w:eastAsia="方正小标宋_GBK" w:cs="方正小标宋_GBK"/>
          <w:b w:val="0"/>
          <w:bCs/>
          <w:sz w:val="44"/>
          <w:szCs w:val="44"/>
          <w:lang w:val="en-US" w:eastAsia="zh-CN"/>
        </w:rPr>
        <w:t>延长油田气化工科技公司</w:t>
      </w:r>
      <w:r>
        <w:rPr>
          <w:rFonts w:hint="eastAsia" w:ascii="方正小标宋_GBK" w:hAnsi="方正小标宋_GBK" w:eastAsia="方正小标宋_GBK" w:cs="方正小标宋_GBK"/>
          <w:b w:val="0"/>
          <w:bCs/>
          <w:sz w:val="44"/>
          <w:szCs w:val="44"/>
        </w:rPr>
        <w:t>“</w:t>
      </w:r>
      <w:r>
        <w:rPr>
          <w:rFonts w:hint="eastAsia" w:ascii="方正小标宋_GBK" w:hAnsi="方正小标宋_GBK" w:eastAsia="方正小标宋_GBK" w:cs="方正小标宋_GBK"/>
          <w:b w:val="0"/>
          <w:bCs/>
          <w:sz w:val="44"/>
          <w:szCs w:val="44"/>
          <w:lang w:val="en-US" w:eastAsia="zh-CN"/>
        </w:rPr>
        <w:t>9</w:t>
      </w:r>
      <w:r>
        <w:rPr>
          <w:rFonts w:hint="eastAsia" w:ascii="宋体" w:hAnsi="宋体" w:eastAsia="宋体" w:cs="宋体"/>
          <w:b w:val="0"/>
          <w:bCs/>
          <w:sz w:val="44"/>
          <w:szCs w:val="44"/>
          <w:lang w:val="en-US" w:eastAsia="zh-CN"/>
        </w:rPr>
        <w:t>·</w:t>
      </w:r>
      <w:r>
        <w:rPr>
          <w:rFonts w:hint="eastAsia" w:ascii="方正小标宋_GBK" w:hAnsi="方正小标宋_GBK" w:eastAsia="方正小标宋_GBK" w:cs="方正小标宋_GBK"/>
          <w:b w:val="0"/>
          <w:bCs/>
          <w:sz w:val="44"/>
          <w:szCs w:val="44"/>
          <w:lang w:val="en-US" w:eastAsia="zh-CN"/>
        </w:rPr>
        <w:t>6</w:t>
      </w:r>
      <w:r>
        <w:rPr>
          <w:rFonts w:hint="eastAsia" w:ascii="方正小标宋_GBK" w:hAnsi="方正小标宋_GBK" w:eastAsia="方正小标宋_GBK" w:cs="方正小标宋_GBK"/>
          <w:b w:val="0"/>
          <w:bCs/>
          <w:sz w:val="44"/>
          <w:szCs w:val="44"/>
        </w:rPr>
        <w:t>”</w:t>
      </w:r>
    </w:p>
    <w:p w14:paraId="4DCF5901">
      <w:pPr>
        <w:spacing w:line="560" w:lineRule="exact"/>
        <w:jc w:val="center"/>
        <w:rPr>
          <w:rFonts w:hint="eastAsia" w:ascii="方正小标宋_GBK" w:hAnsi="方正小标宋_GBK" w:eastAsia="方正小标宋_GBK" w:cs="方正小标宋_GBK"/>
          <w:b w:val="0"/>
          <w:bCs/>
          <w:snapToGrid w:val="0"/>
          <w:kern w:val="0"/>
          <w:sz w:val="44"/>
          <w:szCs w:val="44"/>
        </w:rPr>
      </w:pPr>
      <w:r>
        <w:rPr>
          <w:rFonts w:hint="eastAsia" w:ascii="方正小标宋_GBK" w:hAnsi="方正小标宋_GBK" w:eastAsia="方正小标宋_GBK" w:cs="方正小标宋_GBK"/>
          <w:b w:val="0"/>
          <w:bCs/>
          <w:sz w:val="44"/>
          <w:szCs w:val="44"/>
          <w:lang w:eastAsia="zh-CN"/>
        </w:rPr>
        <w:t>一般</w:t>
      </w:r>
      <w:r>
        <w:rPr>
          <w:rFonts w:hint="eastAsia" w:ascii="方正小标宋_GBK" w:hAnsi="方正小标宋_GBK" w:eastAsia="方正小标宋_GBK" w:cs="方正小标宋_GBK"/>
          <w:b w:val="0"/>
          <w:bCs/>
          <w:sz w:val="44"/>
          <w:szCs w:val="44"/>
          <w:lang w:val="en-US" w:eastAsia="zh-CN"/>
        </w:rPr>
        <w:t>高处坠落</w:t>
      </w:r>
      <w:r>
        <w:rPr>
          <w:rFonts w:hint="eastAsia" w:ascii="方正小标宋_GBK" w:hAnsi="方正小标宋_GBK" w:eastAsia="方正小标宋_GBK" w:cs="方正小标宋_GBK"/>
          <w:b w:val="0"/>
          <w:bCs/>
          <w:sz w:val="44"/>
          <w:szCs w:val="44"/>
        </w:rPr>
        <w:t>事故</w:t>
      </w:r>
      <w:r>
        <w:rPr>
          <w:rFonts w:hint="eastAsia" w:ascii="方正小标宋_GBK" w:hAnsi="方正小标宋_GBK" w:eastAsia="方正小标宋_GBK" w:cs="方正小标宋_GBK"/>
          <w:b w:val="0"/>
          <w:bCs/>
          <w:snapToGrid w:val="0"/>
          <w:kern w:val="0"/>
          <w:sz w:val="44"/>
          <w:szCs w:val="44"/>
        </w:rPr>
        <w:t>责任追究和整改</w:t>
      </w:r>
    </w:p>
    <w:p w14:paraId="273A41F7">
      <w:pPr>
        <w:spacing w:line="560" w:lineRule="exact"/>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napToGrid w:val="0"/>
          <w:kern w:val="0"/>
          <w:sz w:val="44"/>
          <w:szCs w:val="44"/>
        </w:rPr>
        <w:t>措施落实情况的</w:t>
      </w:r>
      <w:r>
        <w:rPr>
          <w:rFonts w:hint="eastAsia" w:ascii="方正小标宋_GBK" w:hAnsi="方正小标宋_GBK" w:eastAsia="方正小标宋_GBK" w:cs="方正小标宋_GBK"/>
          <w:b w:val="0"/>
          <w:bCs/>
          <w:snapToGrid w:val="0"/>
          <w:kern w:val="0"/>
          <w:sz w:val="44"/>
          <w:szCs w:val="44"/>
          <w:lang w:eastAsia="zh-CN"/>
        </w:rPr>
        <w:t>评估</w:t>
      </w:r>
      <w:r>
        <w:rPr>
          <w:rFonts w:hint="eastAsia" w:ascii="方正小标宋_GBK" w:hAnsi="方正小标宋_GBK" w:eastAsia="方正小标宋_GBK" w:cs="方正小标宋_GBK"/>
          <w:b w:val="0"/>
          <w:bCs/>
          <w:snapToGrid w:val="0"/>
          <w:kern w:val="0"/>
          <w:sz w:val="44"/>
          <w:szCs w:val="44"/>
        </w:rPr>
        <w:t>报告</w:t>
      </w:r>
    </w:p>
    <w:p w14:paraId="1E6218F0">
      <w:pPr>
        <w:keepNext w:val="0"/>
        <w:keepLines w:val="0"/>
        <w:pageBreakBefore w:val="0"/>
        <w:wordWrap/>
        <w:overflowPunct/>
        <w:topLinePunct w:val="0"/>
        <w:bidi w:val="0"/>
        <w:spacing w:line="540" w:lineRule="exact"/>
        <w:jc w:val="both"/>
        <w:rPr>
          <w:rFonts w:hint="eastAsia" w:ascii="仿宋_GB2312" w:hAnsi="Calibri" w:eastAsia="仿宋_GB2312"/>
          <w:snapToGrid w:val="0"/>
          <w:kern w:val="0"/>
          <w:sz w:val="32"/>
          <w:szCs w:val="32"/>
        </w:rPr>
      </w:pPr>
    </w:p>
    <w:p w14:paraId="3C6CD2FF">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rPr>
        <w:t>20</w:t>
      </w:r>
      <w:r>
        <w:rPr>
          <w:rFonts w:hint="eastAsia" w:ascii="仿宋_GB2312" w:hAnsi="Calibri" w:eastAsia="仿宋_GB2312"/>
          <w:snapToGrid w:val="0"/>
          <w:kern w:val="0"/>
          <w:sz w:val="32"/>
          <w:szCs w:val="32"/>
          <w:lang w:val="en-US" w:eastAsia="zh-CN"/>
        </w:rPr>
        <w:t>24</w:t>
      </w:r>
      <w:r>
        <w:rPr>
          <w:rFonts w:hint="eastAsia" w:ascii="仿宋_GB2312" w:hAnsi="Calibri" w:eastAsia="仿宋_GB2312"/>
          <w:snapToGrid w:val="0"/>
          <w:kern w:val="0"/>
          <w:sz w:val="32"/>
          <w:szCs w:val="32"/>
        </w:rPr>
        <w:t>年</w:t>
      </w:r>
      <w:r>
        <w:rPr>
          <w:rFonts w:hint="eastAsia" w:ascii="仿宋_GB2312" w:hAnsi="Calibri" w:eastAsia="仿宋_GB2312"/>
          <w:snapToGrid w:val="0"/>
          <w:kern w:val="0"/>
          <w:sz w:val="32"/>
          <w:szCs w:val="32"/>
          <w:lang w:val="en-US" w:eastAsia="zh-CN"/>
        </w:rPr>
        <w:t>9</w:t>
      </w:r>
      <w:r>
        <w:rPr>
          <w:rFonts w:hint="eastAsia" w:ascii="仿宋_GB2312" w:hAnsi="Calibri" w:eastAsia="仿宋_GB2312"/>
          <w:snapToGrid w:val="0"/>
          <w:kern w:val="0"/>
          <w:sz w:val="32"/>
          <w:szCs w:val="32"/>
        </w:rPr>
        <w:t>月</w:t>
      </w:r>
      <w:r>
        <w:rPr>
          <w:rFonts w:hint="eastAsia" w:ascii="仿宋_GB2312" w:hAnsi="Calibri" w:eastAsia="仿宋_GB2312"/>
          <w:snapToGrid w:val="0"/>
          <w:kern w:val="0"/>
          <w:sz w:val="32"/>
          <w:szCs w:val="32"/>
          <w:lang w:val="en-US" w:eastAsia="zh-CN"/>
        </w:rPr>
        <w:t>13</w:t>
      </w:r>
      <w:r>
        <w:rPr>
          <w:rFonts w:hint="eastAsia" w:ascii="仿宋_GB2312" w:hAnsi="Calibri" w:eastAsia="仿宋_GB2312"/>
          <w:snapToGrid w:val="0"/>
          <w:kern w:val="0"/>
          <w:sz w:val="32"/>
          <w:szCs w:val="32"/>
        </w:rPr>
        <w:t>日，延安市人民政府对《</w:t>
      </w:r>
      <w:r>
        <w:rPr>
          <w:rFonts w:hint="eastAsia" w:ascii="仿宋_GB2312" w:hAnsi="Calibri" w:eastAsia="仿宋_GB2312"/>
          <w:snapToGrid w:val="0"/>
          <w:kern w:val="0"/>
          <w:sz w:val="32"/>
          <w:szCs w:val="32"/>
          <w:lang w:eastAsia="zh-CN"/>
        </w:rPr>
        <w:t>延长油田气化工科技公司</w:t>
      </w:r>
      <w:r>
        <w:rPr>
          <w:rFonts w:hint="eastAsia" w:ascii="仿宋_GB2312" w:hAnsi="Calibri" w:eastAsia="仿宋_GB2312"/>
          <w:snapToGrid w:val="0"/>
          <w:kern w:val="0"/>
          <w:sz w:val="32"/>
          <w:szCs w:val="32"/>
        </w:rPr>
        <w:t>“</w:t>
      </w:r>
      <w:r>
        <w:rPr>
          <w:rFonts w:hint="eastAsia" w:ascii="仿宋_GB2312" w:hAnsi="Calibri" w:eastAsia="仿宋_GB2312"/>
          <w:snapToGrid w:val="0"/>
          <w:kern w:val="0"/>
          <w:sz w:val="32"/>
          <w:szCs w:val="32"/>
          <w:lang w:val="en-US" w:eastAsia="zh-CN"/>
        </w:rPr>
        <w:t>9</w:t>
      </w:r>
      <w:r>
        <w:rPr>
          <w:rFonts w:hint="eastAsia" w:ascii="仿宋_GB2312" w:hAnsi="Calibri" w:eastAsia="仿宋_GB2312"/>
          <w:snapToGrid w:val="0"/>
          <w:kern w:val="0"/>
          <w:sz w:val="32"/>
          <w:szCs w:val="32"/>
        </w:rPr>
        <w:t>.</w:t>
      </w:r>
      <w:r>
        <w:rPr>
          <w:rFonts w:hint="eastAsia" w:ascii="仿宋_GB2312" w:hAnsi="Calibri" w:eastAsia="仿宋_GB2312"/>
          <w:snapToGrid w:val="0"/>
          <w:kern w:val="0"/>
          <w:sz w:val="32"/>
          <w:szCs w:val="32"/>
          <w:lang w:val="en-US" w:eastAsia="zh-CN"/>
        </w:rPr>
        <w:t>6</w:t>
      </w:r>
      <w:r>
        <w:rPr>
          <w:rFonts w:hint="eastAsia" w:ascii="仿宋_GB2312" w:hAnsi="Calibri" w:eastAsia="仿宋_GB2312"/>
          <w:snapToGrid w:val="0"/>
          <w:kern w:val="0"/>
          <w:sz w:val="32"/>
          <w:szCs w:val="32"/>
        </w:rPr>
        <w:t>”</w:t>
      </w:r>
      <w:r>
        <w:rPr>
          <w:rFonts w:hint="eastAsia" w:ascii="仿宋_GB2312" w:hAnsi="Calibri" w:eastAsia="仿宋_GB2312"/>
          <w:snapToGrid w:val="0"/>
          <w:kern w:val="0"/>
          <w:sz w:val="32"/>
          <w:szCs w:val="32"/>
          <w:lang w:eastAsia="zh-CN"/>
        </w:rPr>
        <w:t>一般高处坠落</w:t>
      </w:r>
      <w:r>
        <w:rPr>
          <w:rFonts w:hint="eastAsia" w:ascii="仿宋_GB2312" w:hAnsi="Calibri" w:eastAsia="仿宋_GB2312"/>
          <w:snapToGrid w:val="0"/>
          <w:kern w:val="0"/>
          <w:sz w:val="32"/>
          <w:szCs w:val="32"/>
        </w:rPr>
        <w:t>事故调查报告》（以下简称《事故调查报告》）进行了批复，按照《国务院安委会办公室关于</w:t>
      </w:r>
      <w:r>
        <w:rPr>
          <w:rFonts w:hint="eastAsia" w:ascii="仿宋_GB2312" w:hAnsi="Calibri" w:eastAsia="仿宋_GB2312"/>
          <w:snapToGrid w:val="0"/>
          <w:kern w:val="0"/>
          <w:sz w:val="32"/>
          <w:szCs w:val="32"/>
          <w:lang w:eastAsia="zh-CN"/>
        </w:rPr>
        <w:t>印发生产安全事故防范和整改措施落实情况评估办法</w:t>
      </w:r>
      <w:r>
        <w:rPr>
          <w:rFonts w:hint="eastAsia" w:ascii="仿宋_GB2312" w:hAnsi="Calibri" w:eastAsia="仿宋_GB2312"/>
          <w:snapToGrid w:val="0"/>
          <w:kern w:val="0"/>
          <w:sz w:val="32"/>
          <w:szCs w:val="32"/>
        </w:rPr>
        <w:t>的通知》（安委办〔20</w:t>
      </w:r>
      <w:r>
        <w:rPr>
          <w:rFonts w:hint="eastAsia" w:ascii="仿宋_GB2312" w:hAnsi="Calibri" w:eastAsia="仿宋_GB2312"/>
          <w:snapToGrid w:val="0"/>
          <w:kern w:val="0"/>
          <w:sz w:val="32"/>
          <w:szCs w:val="32"/>
          <w:lang w:val="en-US" w:eastAsia="zh-CN"/>
        </w:rPr>
        <w:t>21</w:t>
      </w:r>
      <w:r>
        <w:rPr>
          <w:rFonts w:hint="eastAsia" w:ascii="仿宋_GB2312" w:hAnsi="Calibri" w:eastAsia="仿宋_GB2312"/>
          <w:snapToGrid w:val="0"/>
          <w:kern w:val="0"/>
          <w:sz w:val="32"/>
          <w:szCs w:val="32"/>
        </w:rPr>
        <w:t>〕</w:t>
      </w:r>
      <w:r>
        <w:rPr>
          <w:rFonts w:hint="eastAsia" w:ascii="仿宋_GB2312" w:hAnsi="Calibri" w:eastAsia="仿宋_GB2312"/>
          <w:snapToGrid w:val="0"/>
          <w:kern w:val="0"/>
          <w:sz w:val="32"/>
          <w:szCs w:val="32"/>
          <w:lang w:val="en-US" w:eastAsia="zh-CN"/>
        </w:rPr>
        <w:t>4</w:t>
      </w:r>
      <w:r>
        <w:rPr>
          <w:rFonts w:hint="eastAsia" w:ascii="仿宋_GB2312" w:hAnsi="Calibri" w:eastAsia="仿宋_GB2312"/>
          <w:snapToGrid w:val="0"/>
          <w:kern w:val="0"/>
          <w:sz w:val="32"/>
          <w:szCs w:val="32"/>
        </w:rPr>
        <w:t>号）要求，市安委会办公室于</w:t>
      </w:r>
      <w:r>
        <w:rPr>
          <w:rFonts w:ascii="仿宋_GB2312" w:hAnsi="Calibri" w:eastAsia="仿宋_GB2312"/>
          <w:snapToGrid w:val="0"/>
          <w:kern w:val="0"/>
          <w:sz w:val="32"/>
          <w:szCs w:val="32"/>
        </w:rPr>
        <w:t>202</w:t>
      </w:r>
      <w:r>
        <w:rPr>
          <w:rFonts w:hint="eastAsia" w:hAnsi="Calibri"/>
          <w:snapToGrid w:val="0"/>
          <w:kern w:val="0"/>
          <w:sz w:val="32"/>
          <w:szCs w:val="32"/>
          <w:lang w:val="en-US" w:eastAsia="zh-CN"/>
        </w:rPr>
        <w:t>5</w:t>
      </w:r>
      <w:bookmarkStart w:id="0" w:name="_GoBack"/>
      <w:bookmarkEnd w:id="0"/>
      <w:r>
        <w:rPr>
          <w:rFonts w:hint="eastAsia" w:ascii="仿宋_GB2312" w:hAnsi="Calibri" w:eastAsia="仿宋_GB2312"/>
          <w:snapToGrid w:val="0"/>
          <w:kern w:val="0"/>
          <w:sz w:val="32"/>
          <w:szCs w:val="32"/>
        </w:rPr>
        <w:t>年</w:t>
      </w:r>
      <w:r>
        <w:rPr>
          <w:rFonts w:hint="eastAsia" w:ascii="仿宋_GB2312" w:hAnsi="Calibri" w:eastAsia="仿宋_GB2312"/>
          <w:snapToGrid w:val="0"/>
          <w:kern w:val="0"/>
          <w:sz w:val="32"/>
          <w:szCs w:val="32"/>
          <w:lang w:val="en-US" w:eastAsia="zh-CN"/>
        </w:rPr>
        <w:t>9</w:t>
      </w:r>
      <w:r>
        <w:rPr>
          <w:rFonts w:hint="eastAsia" w:ascii="仿宋_GB2312" w:hAnsi="Calibri" w:eastAsia="仿宋_GB2312"/>
          <w:snapToGrid w:val="0"/>
          <w:kern w:val="0"/>
          <w:sz w:val="32"/>
          <w:szCs w:val="32"/>
        </w:rPr>
        <w:t>月</w:t>
      </w:r>
      <w:r>
        <w:rPr>
          <w:rFonts w:hint="eastAsia" w:ascii="仿宋_GB2312" w:hAnsi="Calibri" w:eastAsia="仿宋_GB2312"/>
          <w:snapToGrid w:val="0"/>
          <w:kern w:val="0"/>
          <w:sz w:val="32"/>
          <w:szCs w:val="32"/>
          <w:lang w:val="en-US" w:eastAsia="zh-CN"/>
        </w:rPr>
        <w:t>10</w:t>
      </w:r>
      <w:r>
        <w:rPr>
          <w:rFonts w:hint="eastAsia" w:ascii="仿宋_GB2312" w:hAnsi="Calibri" w:eastAsia="仿宋_GB2312"/>
          <w:snapToGrid w:val="0"/>
          <w:kern w:val="0"/>
          <w:sz w:val="32"/>
          <w:szCs w:val="32"/>
        </w:rPr>
        <w:t>日组织市应急管理局、总工会、</w:t>
      </w:r>
      <w:r>
        <w:rPr>
          <w:rFonts w:hint="eastAsia" w:ascii="仿宋_GB2312" w:hAnsi="Calibri" w:eastAsia="仿宋_GB2312"/>
          <w:snapToGrid w:val="0"/>
          <w:kern w:val="0"/>
          <w:sz w:val="32"/>
          <w:szCs w:val="32"/>
          <w:lang w:eastAsia="zh-CN"/>
        </w:rPr>
        <w:t>公安</w:t>
      </w:r>
      <w:r>
        <w:rPr>
          <w:rFonts w:hint="eastAsia" w:ascii="仿宋_GB2312" w:hAnsi="Calibri" w:eastAsia="仿宋_GB2312"/>
          <w:snapToGrid w:val="0"/>
          <w:kern w:val="0"/>
          <w:sz w:val="32"/>
          <w:szCs w:val="32"/>
        </w:rPr>
        <w:t>局</w:t>
      </w:r>
      <w:r>
        <w:rPr>
          <w:rFonts w:hint="eastAsia" w:ascii="仿宋_GB2312" w:hAnsi="Calibri" w:eastAsia="仿宋_GB2312"/>
          <w:snapToGrid w:val="0"/>
          <w:kern w:val="0"/>
          <w:sz w:val="32"/>
          <w:szCs w:val="32"/>
          <w:lang w:eastAsia="zh-CN"/>
        </w:rPr>
        <w:t>、</w:t>
      </w:r>
      <w:r>
        <w:rPr>
          <w:rFonts w:hint="eastAsia" w:ascii="仿宋_GB2312" w:hAnsi="Calibri" w:eastAsia="仿宋_GB2312"/>
          <w:snapToGrid w:val="0"/>
          <w:kern w:val="0"/>
          <w:sz w:val="32"/>
          <w:szCs w:val="32"/>
          <w:lang w:val="en-US" w:eastAsia="zh-CN"/>
        </w:rPr>
        <w:t>市场监管局</w:t>
      </w:r>
      <w:r>
        <w:rPr>
          <w:rFonts w:hint="eastAsia" w:ascii="仿宋_GB2312" w:hAnsi="Calibri" w:eastAsia="仿宋_GB2312"/>
          <w:snapToGrid w:val="0"/>
          <w:kern w:val="0"/>
          <w:sz w:val="32"/>
          <w:szCs w:val="32"/>
        </w:rPr>
        <w:t>等单位组成评估组对该起事故责任追究和</w:t>
      </w:r>
      <w:r>
        <w:rPr>
          <w:rFonts w:hint="eastAsia" w:ascii="仿宋_GB2312" w:hAnsi="Calibri" w:eastAsia="仿宋_GB2312"/>
          <w:snapToGrid w:val="0"/>
          <w:kern w:val="0"/>
          <w:sz w:val="32"/>
          <w:szCs w:val="32"/>
          <w:lang w:val="en-US" w:eastAsia="zh-CN"/>
        </w:rPr>
        <w:t>整改措施落实情况进行了评估核查。</w:t>
      </w:r>
    </w:p>
    <w:p w14:paraId="67BC9C95">
      <w:pPr>
        <w:keepNext w:val="0"/>
        <w:keepLines w:val="0"/>
        <w:pageBreakBefore w:val="0"/>
        <w:wordWrap/>
        <w:overflowPunct/>
        <w:topLinePunct w:val="0"/>
        <w:bidi w:val="0"/>
        <w:spacing w:line="540" w:lineRule="exact"/>
        <w:ind w:firstLine="632" w:firstLineChars="200"/>
        <w:jc w:val="both"/>
        <w:rPr>
          <w:rFonts w:hint="eastAsia" w:ascii="黑体" w:hAnsi="黑体" w:eastAsia="黑体" w:cs="黑体"/>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一、评估工作组织及开展情况</w:t>
      </w:r>
    </w:p>
    <w:p w14:paraId="0DB2614F">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评估组对照《事故调查报告》提出的责任追究及防范和整改措施建议，深入事故发生地相关监管部门和企业，采取核查事故原始档案、查阅相关文件资料、现场检查和听取汇报等方式，对事故责任追究落实情况、防范和整改措施落实情况，逐项、逐人开展了对标核查评估。对评估中新发现的问题，评估组现场进行了反馈，并要求限时进行整改。</w:t>
      </w:r>
    </w:p>
    <w:p w14:paraId="4D10760D">
      <w:pPr>
        <w:keepNext w:val="0"/>
        <w:keepLines w:val="0"/>
        <w:pageBreakBefore w:val="0"/>
        <w:wordWrap/>
        <w:overflowPunct/>
        <w:topLinePunct w:val="0"/>
        <w:bidi w:val="0"/>
        <w:spacing w:line="540" w:lineRule="exact"/>
        <w:ind w:firstLine="632" w:firstLineChars="200"/>
        <w:jc w:val="both"/>
        <w:rPr>
          <w:rFonts w:hint="eastAsia" w:ascii="黑体" w:hAnsi="黑体" w:eastAsia="黑体" w:cs="黑体"/>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二、事故责任人员责任追究落实情况</w:t>
      </w:r>
    </w:p>
    <w:p w14:paraId="4B62986D">
      <w:pPr>
        <w:keepNext w:val="0"/>
        <w:keepLines w:val="0"/>
        <w:pageBreakBefore w:val="0"/>
        <w:wordWrap/>
        <w:overflowPunct/>
        <w:topLinePunct w:val="0"/>
        <w:bidi w:val="0"/>
        <w:spacing w:line="540" w:lineRule="exact"/>
        <w:ind w:firstLine="632" w:firstLineChars="200"/>
        <w:jc w:val="both"/>
        <w:rPr>
          <w:rFonts w:hint="eastAsia" w:ascii="楷体_GB2312" w:hAnsi="楷体_GB2312" w:eastAsia="楷体_GB2312" w:cs="楷体_GB2312"/>
          <w:snapToGrid w:val="0"/>
          <w:kern w:val="0"/>
          <w:sz w:val="32"/>
          <w:szCs w:val="32"/>
          <w:lang w:val="en-US" w:eastAsia="zh-CN"/>
        </w:rPr>
      </w:pPr>
      <w:r>
        <w:rPr>
          <w:rFonts w:hint="eastAsia" w:ascii="楷体_GB2312" w:hAnsi="楷体_GB2312" w:eastAsia="楷体_GB2312" w:cs="楷体_GB2312"/>
          <w:snapToGrid w:val="0"/>
          <w:kern w:val="0"/>
          <w:sz w:val="32"/>
          <w:szCs w:val="32"/>
          <w:lang w:val="en-US" w:eastAsia="zh-CN"/>
        </w:rPr>
        <w:t>（一）对涉嫌刑事犯罪人员追究情况</w:t>
      </w:r>
    </w:p>
    <w:p w14:paraId="0185A464">
      <w:pPr>
        <w:keepNext w:val="0"/>
        <w:keepLines w:val="0"/>
        <w:pageBreakBefore w:val="0"/>
        <w:wordWrap/>
        <w:overflowPunct/>
        <w:topLinePunct w:val="0"/>
        <w:bidi w:val="0"/>
        <w:spacing w:line="540" w:lineRule="exact"/>
        <w:ind w:firstLine="632" w:firstLineChars="200"/>
        <w:jc w:val="both"/>
        <w:rPr>
          <w:rFonts w:hint="default"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事故调查报告中建议移送司法机关处理的1名责任人员，延长县应急管理局于2024年9月18日对谭二毛涉嫌重大责任事故罪移交延长县公安局，延长县公安局于2024年11月29日对谭二毛涉嫌重大责任事故罪立案侦查，2025年9月22日，延长县公安局对谭二毛采取了取保候审措施。</w:t>
      </w:r>
    </w:p>
    <w:p w14:paraId="2AD55A28">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楷体_GB2312" w:hAnsi="Calibri" w:eastAsia="楷体_GB2312" w:cs="Times New Roman"/>
          <w:snapToGrid w:val="0"/>
          <w:kern w:val="0"/>
          <w:sz w:val="32"/>
          <w:szCs w:val="32"/>
        </w:rPr>
        <w:t>（二）</w:t>
      </w:r>
      <w:r>
        <w:rPr>
          <w:rFonts w:hint="eastAsia" w:ascii="楷体_GB2312" w:hAnsi="楷体_GB2312" w:eastAsia="楷体_GB2312" w:cs="楷体_GB2312"/>
          <w:snapToGrid w:val="0"/>
          <w:kern w:val="0"/>
          <w:sz w:val="32"/>
          <w:szCs w:val="32"/>
          <w:lang w:val="en-US" w:eastAsia="zh-CN"/>
        </w:rPr>
        <w:t xml:space="preserve">对有关责任人党政纪责任追究情况 </w:t>
      </w:r>
    </w:p>
    <w:p w14:paraId="096E994D">
      <w:pPr>
        <w:keepNext w:val="0"/>
        <w:keepLines w:val="0"/>
        <w:pageBreakBefore w:val="0"/>
        <w:wordWrap/>
        <w:overflowPunct/>
        <w:topLinePunct w:val="0"/>
        <w:bidi w:val="0"/>
        <w:spacing w:line="540" w:lineRule="exact"/>
        <w:ind w:firstLine="632" w:firstLineChars="200"/>
        <w:jc w:val="both"/>
        <w:rPr>
          <w:rFonts w:ascii="仿宋_GB2312" w:hAnsi="Calibri" w:eastAsia="仿宋_GB2312" w:cs="Times New Roman"/>
          <w:snapToGrid w:val="0"/>
          <w:kern w:val="0"/>
          <w:sz w:val="32"/>
          <w:szCs w:val="32"/>
        </w:rPr>
      </w:pPr>
      <w:r>
        <w:rPr>
          <w:rFonts w:hint="eastAsia" w:ascii="仿宋_GB2312" w:hAnsi="Calibri" w:eastAsia="仿宋_GB2312" w:cs="Times New Roman"/>
          <w:snapToGrid w:val="0"/>
          <w:kern w:val="0"/>
          <w:sz w:val="32"/>
          <w:szCs w:val="32"/>
        </w:rPr>
        <w:t>事故调查报告中建议党政纪及行政问责的</w:t>
      </w:r>
      <w:r>
        <w:rPr>
          <w:rFonts w:hint="eastAsia" w:ascii="仿宋_GB2312" w:hAnsi="Calibri" w:eastAsia="仿宋_GB2312" w:cs="Times New Roman"/>
          <w:snapToGrid w:val="0"/>
          <w:kern w:val="0"/>
          <w:sz w:val="32"/>
          <w:szCs w:val="32"/>
          <w:lang w:val="en-US" w:eastAsia="zh-CN"/>
        </w:rPr>
        <w:t>14</w:t>
      </w:r>
      <w:r>
        <w:rPr>
          <w:rFonts w:hint="eastAsia" w:ascii="仿宋_GB2312" w:hAnsi="Calibri" w:eastAsia="仿宋_GB2312" w:cs="Times New Roman"/>
          <w:snapToGrid w:val="0"/>
          <w:kern w:val="0"/>
          <w:sz w:val="32"/>
          <w:szCs w:val="32"/>
        </w:rPr>
        <w:t>名责任人员均已按照干部管理权限，给予了</w:t>
      </w:r>
      <w:r>
        <w:rPr>
          <w:rFonts w:hint="eastAsia" w:ascii="仿宋_GB2312" w:hAnsi="Calibri" w:eastAsia="仿宋_GB2312" w:cs="Times New Roman"/>
          <w:snapToGrid w:val="0"/>
          <w:kern w:val="0"/>
          <w:sz w:val="32"/>
          <w:szCs w:val="32"/>
          <w:lang w:eastAsia="zh-CN"/>
        </w:rPr>
        <w:t>相应的党政纪</w:t>
      </w:r>
      <w:r>
        <w:rPr>
          <w:rFonts w:hint="eastAsia" w:ascii="仿宋_GB2312" w:hAnsi="Calibri" w:eastAsia="仿宋_GB2312" w:cs="Times New Roman"/>
          <w:snapToGrid w:val="0"/>
          <w:kern w:val="0"/>
          <w:sz w:val="32"/>
          <w:szCs w:val="32"/>
        </w:rPr>
        <w:t>处理，全部处理到位。</w:t>
      </w:r>
    </w:p>
    <w:p w14:paraId="33BD2A12">
      <w:pPr>
        <w:keepNext w:val="0"/>
        <w:keepLines w:val="0"/>
        <w:pageBreakBefore w:val="0"/>
        <w:wordWrap/>
        <w:overflowPunct/>
        <w:topLinePunct w:val="0"/>
        <w:bidi w:val="0"/>
        <w:spacing w:line="540" w:lineRule="exact"/>
        <w:ind w:firstLine="632" w:firstLineChars="200"/>
        <w:jc w:val="both"/>
        <w:rPr>
          <w:rFonts w:ascii="楷体_GB2312" w:hAnsi="Calibri" w:eastAsia="楷体_GB2312" w:cs="Times New Roman"/>
          <w:snapToGrid w:val="0"/>
          <w:kern w:val="0"/>
          <w:sz w:val="32"/>
          <w:szCs w:val="32"/>
        </w:rPr>
      </w:pPr>
      <w:r>
        <w:rPr>
          <w:rFonts w:hint="eastAsia" w:ascii="楷体_GB2312" w:hAnsi="Calibri" w:eastAsia="楷体_GB2312" w:cs="Times New Roman"/>
          <w:snapToGrid w:val="0"/>
          <w:kern w:val="0"/>
          <w:sz w:val="32"/>
          <w:szCs w:val="32"/>
          <w:lang w:eastAsia="zh-CN"/>
        </w:rPr>
        <w:t>（三）</w:t>
      </w:r>
      <w:r>
        <w:rPr>
          <w:rFonts w:hint="eastAsia" w:ascii="楷体_GB2312" w:hAnsi="Calibri" w:eastAsia="楷体_GB2312" w:cs="Times New Roman"/>
          <w:snapToGrid w:val="0"/>
          <w:kern w:val="0"/>
          <w:sz w:val="32"/>
          <w:szCs w:val="32"/>
        </w:rPr>
        <w:t>对有关责任人行政责任处罚情况</w:t>
      </w:r>
    </w:p>
    <w:p w14:paraId="4495DA40">
      <w:pPr>
        <w:keepNext w:val="0"/>
        <w:keepLines w:val="0"/>
        <w:pageBreakBefore w:val="0"/>
        <w:tabs>
          <w:tab w:val="left" w:pos="681"/>
        </w:tabs>
        <w:wordWrap/>
        <w:overflowPunct/>
        <w:topLinePunct w:val="0"/>
        <w:bidi w:val="0"/>
        <w:spacing w:line="540" w:lineRule="exact"/>
        <w:ind w:firstLine="632" w:firstLineChars="200"/>
        <w:jc w:val="both"/>
        <w:rPr>
          <w:rFonts w:hint="eastAsia" w:ascii="仿宋_GB2312" w:hAnsi="Calibri" w:eastAsia="仿宋_GB2312" w:cs="Times New Roman"/>
          <w:snapToGrid w:val="0"/>
          <w:kern w:val="0"/>
          <w:sz w:val="32"/>
          <w:szCs w:val="32"/>
        </w:rPr>
      </w:pPr>
      <w:r>
        <w:rPr>
          <w:rFonts w:hint="eastAsia" w:ascii="仿宋_GB2312" w:hAnsi="Calibri" w:eastAsia="仿宋_GB2312" w:cs="Times New Roman"/>
          <w:snapToGrid w:val="0"/>
          <w:kern w:val="0"/>
          <w:sz w:val="32"/>
          <w:szCs w:val="32"/>
        </w:rPr>
        <w:t>事故调查报告中建议给予行政处罚的</w:t>
      </w:r>
      <w:r>
        <w:rPr>
          <w:rFonts w:hint="eastAsia" w:ascii="仿宋_GB2312" w:hAnsi="Calibri" w:eastAsia="仿宋_GB2312" w:cs="Times New Roman"/>
          <w:snapToGrid w:val="0"/>
          <w:kern w:val="0"/>
          <w:sz w:val="32"/>
          <w:szCs w:val="32"/>
          <w:lang w:val="en-US" w:eastAsia="zh-CN"/>
        </w:rPr>
        <w:t>6</w:t>
      </w:r>
      <w:r>
        <w:rPr>
          <w:rFonts w:hint="eastAsia" w:ascii="仿宋_GB2312" w:hAnsi="Calibri" w:eastAsia="仿宋_GB2312" w:cs="Times New Roman"/>
          <w:snapToGrid w:val="0"/>
          <w:kern w:val="0"/>
          <w:sz w:val="32"/>
          <w:szCs w:val="32"/>
        </w:rPr>
        <w:t>名责任人员，均按照规定予以处罚。</w:t>
      </w:r>
    </w:p>
    <w:p w14:paraId="22A5C1B7">
      <w:pPr>
        <w:keepNext w:val="0"/>
        <w:keepLines w:val="0"/>
        <w:pageBreakBefore w:val="0"/>
        <w:wordWrap/>
        <w:overflowPunct/>
        <w:topLinePunct w:val="0"/>
        <w:bidi w:val="0"/>
        <w:spacing w:line="540" w:lineRule="exact"/>
        <w:ind w:firstLine="632" w:firstLineChars="200"/>
        <w:jc w:val="both"/>
        <w:rPr>
          <w:rFonts w:hint="eastAsia" w:ascii="黑体" w:hAnsi="黑体" w:eastAsia="黑体" w:cs="黑体"/>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 xml:space="preserve">三、事故责任单位责任追究落实情况 </w:t>
      </w:r>
    </w:p>
    <w:p w14:paraId="7EDE8BE3">
      <w:pPr>
        <w:keepNext w:val="0"/>
        <w:keepLines w:val="0"/>
        <w:pageBreakBefore w:val="0"/>
        <w:wordWrap/>
        <w:overflowPunct/>
        <w:topLinePunct w:val="0"/>
        <w:bidi w:val="0"/>
        <w:spacing w:line="540" w:lineRule="exact"/>
        <w:ind w:firstLine="632" w:firstLineChars="200"/>
        <w:jc w:val="both"/>
        <w:rPr>
          <w:rFonts w:hint="eastAsia" w:ascii="楷体_GB2312" w:hAnsi="Calibri" w:eastAsia="楷体_GB2312" w:cs="Times New Roman"/>
          <w:snapToGrid w:val="0"/>
          <w:kern w:val="0"/>
          <w:sz w:val="32"/>
          <w:szCs w:val="32"/>
          <w:lang w:val="en-US" w:eastAsia="zh-CN"/>
        </w:rPr>
      </w:pPr>
      <w:r>
        <w:rPr>
          <w:rFonts w:hint="eastAsia" w:ascii="楷体_GB2312" w:hAnsi="Calibri" w:eastAsia="楷体_GB2312" w:cs="Times New Roman"/>
          <w:snapToGrid w:val="0"/>
          <w:kern w:val="0"/>
          <w:sz w:val="32"/>
          <w:szCs w:val="32"/>
          <w:lang w:val="en-US" w:eastAsia="zh-CN"/>
        </w:rPr>
        <w:t>（一）违反相关法律法规规定的生产经营单位责任追究情况</w:t>
      </w:r>
    </w:p>
    <w:p w14:paraId="36EF678B">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1.2024年9月18日，延长县应急管理局会同延长县工业园区管委会对延长石油油田气化工科技公司主要负责人及其他人员进行了警示约谈。延长石油油田气化工科技公司主要负责人景岗作出了书面检查。</w:t>
      </w:r>
    </w:p>
    <w:p w14:paraId="1A057584">
      <w:pPr>
        <w:keepNext w:val="0"/>
        <w:keepLines w:val="0"/>
        <w:pageBreakBefore w:val="0"/>
        <w:wordWrap/>
        <w:overflowPunct/>
        <w:topLinePunct w:val="0"/>
        <w:bidi w:val="0"/>
        <w:spacing w:line="540" w:lineRule="exact"/>
        <w:ind w:firstLine="632" w:firstLineChars="200"/>
        <w:jc w:val="both"/>
        <w:rPr>
          <w:rFonts w:hint="default"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2.2024年11月13日，延长县应急管理局作出（长）应急罚〔2024〕专-5号、（长）应急罚〔2024〕专-6号行政处罚决定，对陕西昌润环境工程有限公司和延长石油油田气化工科技公司分别作出处人民币70万元行政处罚，均已落实到位。</w:t>
      </w:r>
    </w:p>
    <w:p w14:paraId="26B7109B">
      <w:pPr>
        <w:keepNext w:val="0"/>
        <w:keepLines w:val="0"/>
        <w:pageBreakBefore w:val="0"/>
        <w:wordWrap/>
        <w:overflowPunct/>
        <w:topLinePunct w:val="0"/>
        <w:bidi w:val="0"/>
        <w:spacing w:line="540" w:lineRule="exact"/>
        <w:ind w:firstLine="632" w:firstLineChars="200"/>
        <w:jc w:val="both"/>
        <w:rPr>
          <w:rFonts w:hint="eastAsia" w:ascii="楷体_GB2312" w:hAnsi="Calibri" w:eastAsia="楷体_GB2312" w:cs="Times New Roman"/>
          <w:snapToGrid w:val="0"/>
          <w:kern w:val="0"/>
          <w:sz w:val="32"/>
          <w:szCs w:val="32"/>
          <w:lang w:val="en-US" w:eastAsia="zh-CN"/>
        </w:rPr>
      </w:pPr>
      <w:r>
        <w:rPr>
          <w:rFonts w:hint="eastAsia" w:ascii="楷体_GB2312" w:hAnsi="Calibri" w:eastAsia="楷体_GB2312" w:cs="Times New Roman"/>
          <w:snapToGrid w:val="0"/>
          <w:kern w:val="0"/>
          <w:sz w:val="32"/>
          <w:szCs w:val="32"/>
          <w:lang w:val="en-US" w:eastAsia="zh-CN"/>
        </w:rPr>
        <w:t>另：</w:t>
      </w:r>
      <w:r>
        <w:rPr>
          <w:rFonts w:hint="eastAsia" w:ascii="仿宋_GB2312" w:hAnsi="Calibri" w:eastAsia="仿宋_GB2312"/>
          <w:snapToGrid w:val="0"/>
          <w:kern w:val="0"/>
          <w:sz w:val="32"/>
          <w:szCs w:val="32"/>
          <w:lang w:val="en-US" w:eastAsia="zh-CN"/>
        </w:rPr>
        <w:t>陕西昌润环境工程有限公司和陕西恒万程劳务工程有限公司被延长石油集团公司纳入黑名单管理。</w:t>
      </w:r>
    </w:p>
    <w:p w14:paraId="7062664D">
      <w:pPr>
        <w:keepNext w:val="0"/>
        <w:keepLines w:val="0"/>
        <w:pageBreakBefore w:val="0"/>
        <w:wordWrap/>
        <w:overflowPunct/>
        <w:topLinePunct w:val="0"/>
        <w:bidi w:val="0"/>
        <w:spacing w:line="540" w:lineRule="exact"/>
        <w:ind w:firstLine="632" w:firstLineChars="200"/>
        <w:jc w:val="both"/>
        <w:rPr>
          <w:rFonts w:hint="eastAsia" w:ascii="楷体_GB2312" w:hAnsi="Calibri" w:eastAsia="楷体_GB2312" w:cs="Times New Roman"/>
          <w:snapToGrid w:val="0"/>
          <w:kern w:val="0"/>
          <w:sz w:val="32"/>
          <w:szCs w:val="32"/>
          <w:lang w:val="en-US" w:eastAsia="zh-CN"/>
        </w:rPr>
      </w:pPr>
      <w:r>
        <w:rPr>
          <w:rFonts w:hint="eastAsia" w:ascii="楷体_GB2312" w:hAnsi="Calibri" w:eastAsia="楷体_GB2312" w:cs="Times New Roman"/>
          <w:snapToGrid w:val="0"/>
          <w:kern w:val="0"/>
          <w:sz w:val="32"/>
          <w:szCs w:val="32"/>
          <w:lang w:val="en-US" w:eastAsia="zh-CN"/>
        </w:rPr>
        <w:t>（二）事故发生地相关单位责任追究情况</w:t>
      </w:r>
    </w:p>
    <w:p w14:paraId="65151371">
      <w:pPr>
        <w:keepNext w:val="0"/>
        <w:keepLines w:val="0"/>
        <w:pageBreakBefore w:val="0"/>
        <w:wordWrap/>
        <w:overflowPunct/>
        <w:topLinePunct w:val="0"/>
        <w:bidi w:val="0"/>
        <w:spacing w:line="540" w:lineRule="exact"/>
        <w:ind w:firstLine="632" w:firstLineChars="200"/>
        <w:jc w:val="both"/>
        <w:rPr>
          <w:rFonts w:hint="default"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2024年9月18日，延长县应急管理局向市应急管理局作出了书面检查。</w:t>
      </w:r>
    </w:p>
    <w:p w14:paraId="4C6C428E">
      <w:pPr>
        <w:keepNext w:val="0"/>
        <w:keepLines w:val="0"/>
        <w:pageBreakBefore w:val="0"/>
        <w:wordWrap/>
        <w:overflowPunct/>
        <w:topLinePunct w:val="0"/>
        <w:bidi w:val="0"/>
        <w:spacing w:line="540" w:lineRule="exact"/>
        <w:ind w:firstLine="632" w:firstLineChars="200"/>
        <w:jc w:val="both"/>
        <w:rPr>
          <w:rFonts w:hint="eastAsia" w:ascii="黑体" w:hAnsi="黑体" w:eastAsia="黑体" w:cs="黑体"/>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四、事故防范和整改措施落实情况</w:t>
      </w:r>
    </w:p>
    <w:p w14:paraId="58B76AB1">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楷体_GB2312" w:hAnsi="Calibri" w:eastAsia="楷体_GB2312" w:cs="Times New Roman"/>
          <w:snapToGrid w:val="0"/>
          <w:kern w:val="0"/>
          <w:sz w:val="32"/>
          <w:szCs w:val="32"/>
          <w:lang w:val="en-US" w:eastAsia="zh-CN"/>
        </w:rPr>
        <w:t>（一）延长油田气化工科技公司：</w:t>
      </w:r>
      <w:r>
        <w:rPr>
          <w:rFonts w:hint="eastAsia" w:ascii="仿宋_GB2312" w:hAnsi="仿宋_GB2312" w:eastAsia="仿宋_GB2312" w:cs="仿宋_GB2312"/>
          <w:b/>
          <w:bCs/>
          <w:snapToGrid w:val="0"/>
          <w:kern w:val="0"/>
          <w:sz w:val="32"/>
          <w:szCs w:val="32"/>
          <w:lang w:val="en-US" w:eastAsia="zh-CN"/>
        </w:rPr>
        <w:t>一是</w:t>
      </w:r>
      <w:r>
        <w:rPr>
          <w:rFonts w:hint="eastAsia" w:ascii="仿宋_GB2312" w:hAnsi="Calibri" w:eastAsia="仿宋_GB2312"/>
          <w:snapToGrid w:val="0"/>
          <w:kern w:val="0"/>
          <w:sz w:val="32"/>
          <w:szCs w:val="32"/>
          <w:lang w:val="en-US" w:eastAsia="zh-CN"/>
        </w:rPr>
        <w:t>督促本单位及外包单位全面落实全员安全生产主体责任，确保安全生产责任制度横向到边、纵向到底全覆盖，并定期对责任制度考核情况进行检查，确保安全生产责任制严格按要求落实。</w:t>
      </w:r>
      <w:r>
        <w:rPr>
          <w:rFonts w:hint="eastAsia" w:ascii="仿宋_GB2312" w:hAnsi="Calibri" w:eastAsia="仿宋_GB2312"/>
          <w:b/>
          <w:bCs/>
          <w:snapToGrid w:val="0"/>
          <w:kern w:val="0"/>
          <w:sz w:val="32"/>
          <w:szCs w:val="32"/>
          <w:lang w:val="en-US" w:eastAsia="zh-CN"/>
        </w:rPr>
        <w:t>二是</w:t>
      </w:r>
      <w:r>
        <w:rPr>
          <w:rFonts w:hint="eastAsia" w:ascii="仿宋_GB2312" w:hAnsi="Calibri" w:eastAsia="仿宋_GB2312"/>
          <w:snapToGrid w:val="0"/>
          <w:kern w:val="0"/>
          <w:sz w:val="32"/>
          <w:szCs w:val="32"/>
          <w:lang w:val="en-US" w:eastAsia="zh-CN"/>
        </w:rPr>
        <w:t>进一步完善安全标准化、双重预防体系建设，着力提升内部“安全合规性、环保合法性、工艺平稳性、设备完整性”。充分利用内部自评，组织专家诊断，不断提升安全标准化管理水平，确保年底实现三级达标。</w:t>
      </w:r>
      <w:r>
        <w:rPr>
          <w:rFonts w:hint="eastAsia" w:ascii="仿宋_GB2312" w:hAnsi="Calibri" w:eastAsia="仿宋_GB2312"/>
          <w:b/>
          <w:bCs/>
          <w:snapToGrid w:val="0"/>
          <w:kern w:val="0"/>
          <w:sz w:val="32"/>
          <w:szCs w:val="32"/>
          <w:lang w:val="en-US" w:eastAsia="zh-CN"/>
        </w:rPr>
        <w:t>三是</w:t>
      </w:r>
      <w:r>
        <w:rPr>
          <w:rFonts w:hint="eastAsia" w:ascii="仿宋_GB2312" w:hAnsi="Calibri" w:eastAsia="仿宋_GB2312"/>
          <w:snapToGrid w:val="0"/>
          <w:kern w:val="0"/>
          <w:sz w:val="32"/>
          <w:szCs w:val="32"/>
          <w:lang w:val="en-US" w:eastAsia="zh-CN"/>
        </w:rPr>
        <w:t>实施“四级”确认，推动安全生产由粗线条向细线条压茬推进，做到横向到边、纵向到底、不留死角。夯实检修现场“硬围挡”、受限空间“挂牌制”、危险作业“安全三交代”“三喊话”等管理模式，确保作业安全可控。</w:t>
      </w:r>
      <w:r>
        <w:rPr>
          <w:rFonts w:hint="eastAsia" w:ascii="仿宋_GB2312" w:hAnsi="Calibri" w:eastAsia="仿宋_GB2312"/>
          <w:b/>
          <w:bCs/>
          <w:snapToGrid w:val="0"/>
          <w:kern w:val="0"/>
          <w:sz w:val="32"/>
          <w:szCs w:val="32"/>
          <w:lang w:val="en-US" w:eastAsia="zh-CN"/>
        </w:rPr>
        <w:t>四是</w:t>
      </w:r>
      <w:r>
        <w:rPr>
          <w:rFonts w:hint="eastAsia" w:ascii="仿宋_GB2312" w:hAnsi="Calibri" w:eastAsia="仿宋_GB2312"/>
          <w:snapToGrid w:val="0"/>
          <w:kern w:val="0"/>
          <w:sz w:val="32"/>
          <w:szCs w:val="32"/>
          <w:lang w:val="en-US" w:eastAsia="zh-CN"/>
        </w:rPr>
        <w:t>将外包单位的全过程管理纳入公司的统一管理，按照《承包商管理制度》加强对外包单位现场人员持证情况的检查，企业至少每周要对施工作业单位和 相关人员开展一次持证作业检查，现场安全管理人员、特殊 作业人员必须携证上岗作业并确保人证一致。</w:t>
      </w:r>
      <w:r>
        <w:rPr>
          <w:rFonts w:hint="eastAsia" w:ascii="仿宋_GB2312" w:hAnsi="Calibri" w:eastAsia="仿宋_GB2312"/>
          <w:b/>
          <w:bCs/>
          <w:snapToGrid w:val="0"/>
          <w:kern w:val="0"/>
          <w:sz w:val="32"/>
          <w:szCs w:val="32"/>
          <w:lang w:val="en-US" w:eastAsia="zh-CN"/>
        </w:rPr>
        <w:t>五是</w:t>
      </w:r>
      <w:r>
        <w:rPr>
          <w:rFonts w:hint="eastAsia" w:ascii="仿宋_GB2312" w:hAnsi="Calibri" w:eastAsia="仿宋_GB2312"/>
          <w:snapToGrid w:val="0"/>
          <w:kern w:val="0"/>
          <w:sz w:val="32"/>
          <w:szCs w:val="32"/>
          <w:lang w:val="en-US" w:eastAsia="zh-CN"/>
        </w:rPr>
        <w:t>严格按照《陕西延长石油集团油田气化工科技公司承包商安全管理规定》《陕西延长石油集团炼化公司全员安全生产记分管理办法(试行)》开展日常检查、隐患排查治理，未按要求整改的立即停止作 业或停工整改，必须经整改复查合格，经现场确认后，方可开展施工作业。</w:t>
      </w:r>
      <w:r>
        <w:rPr>
          <w:rFonts w:hint="eastAsia" w:ascii="仿宋_GB2312" w:hAnsi="Calibri" w:eastAsia="仿宋_GB2312"/>
          <w:b/>
          <w:bCs/>
          <w:snapToGrid w:val="0"/>
          <w:kern w:val="0"/>
          <w:sz w:val="32"/>
          <w:szCs w:val="32"/>
          <w:lang w:val="en-US" w:eastAsia="zh-CN"/>
        </w:rPr>
        <w:t>六是</w:t>
      </w:r>
      <w:r>
        <w:rPr>
          <w:rFonts w:hint="eastAsia" w:ascii="仿宋_GB2312" w:hAnsi="Calibri" w:eastAsia="仿宋_GB2312"/>
          <w:snapToGrid w:val="0"/>
          <w:kern w:val="0"/>
          <w:sz w:val="32"/>
          <w:szCs w:val="32"/>
          <w:lang w:val="en-US" w:eastAsia="zh-CN"/>
        </w:rPr>
        <w:t>坚持把排查、整改、除患作为关键抓手，细化风险管控责任、措施，逐一落实四级管控责任，确保全员熟练掌握岗位安全风险防范措施，抓实生产工艺、设备设施、作业环节和人员行为等安全风险辨识评估、分级管控。完善“主要领导全面负责，主管领导分头包管，职能部门专业把控，生产部门具体管理，岗位人员直接负责”的安全工作职责体系，提升安全生产整体防控能力。</w:t>
      </w:r>
      <w:r>
        <w:rPr>
          <w:rFonts w:hint="eastAsia" w:ascii="仿宋_GB2312" w:hAnsi="Calibri" w:eastAsia="仿宋_GB2312"/>
          <w:b/>
          <w:bCs/>
          <w:snapToGrid w:val="0"/>
          <w:kern w:val="0"/>
          <w:sz w:val="32"/>
          <w:szCs w:val="32"/>
          <w:lang w:val="en-US" w:eastAsia="zh-CN"/>
        </w:rPr>
        <w:t>七是</w:t>
      </w:r>
      <w:r>
        <w:rPr>
          <w:rFonts w:hint="eastAsia" w:ascii="仿宋_GB2312" w:hAnsi="Calibri" w:eastAsia="仿宋_GB2312"/>
          <w:snapToGrid w:val="0"/>
          <w:kern w:val="0"/>
          <w:sz w:val="32"/>
          <w:szCs w:val="32"/>
          <w:lang w:val="en-US" w:eastAsia="zh-CN"/>
        </w:rPr>
        <w:t>以“五个能力”提升为重点，围绕“干部作风提升年”和“五项工作措施”,严抓领导干部党性、政绩观、安全观。坚持按需施教的理念，突出安全操作规程、岗位风险辨识等重点内容的学习掌握。常态化开展警示教育。通过“制度落实年”活动，加大法律法规、标准规范的学习应用，组织好安全生产月、消防月等系列活动，扎实推进“小班组、大安全”管理，加快提升各级人员的安全意识及操作技能。</w:t>
      </w:r>
    </w:p>
    <w:p w14:paraId="486DDEC1">
      <w:pPr>
        <w:keepNext w:val="0"/>
        <w:keepLines w:val="0"/>
        <w:pageBreakBefore w:val="0"/>
        <w:wordWrap/>
        <w:overflowPunct/>
        <w:topLinePunct w:val="0"/>
        <w:bidi w:val="0"/>
        <w:spacing w:line="540" w:lineRule="exact"/>
        <w:jc w:val="both"/>
        <w:rPr>
          <w:rFonts w:hint="eastAsia" w:ascii="楷体_GB2312" w:hAnsi="Calibri" w:eastAsia="楷体_GB2312" w:cs="Times New Roman"/>
          <w:snapToGrid w:val="0"/>
          <w:kern w:val="0"/>
          <w:sz w:val="32"/>
          <w:szCs w:val="32"/>
          <w:lang w:val="en-US" w:eastAsia="zh-CN"/>
        </w:rPr>
      </w:pPr>
      <w:r>
        <w:rPr>
          <w:rFonts w:hint="eastAsia" w:ascii="仿宋_GB2312" w:hAnsi="Calibri" w:eastAsia="仿宋_GB2312"/>
          <w:snapToGrid w:val="0"/>
          <w:kern w:val="0"/>
          <w:sz w:val="32"/>
          <w:szCs w:val="32"/>
          <w:lang w:val="en-US" w:eastAsia="zh-CN"/>
        </w:rPr>
        <w:t xml:space="preserve">    </w:t>
      </w:r>
      <w:r>
        <w:rPr>
          <w:rFonts w:hint="eastAsia" w:ascii="楷体_GB2312" w:hAnsi="Calibri" w:eastAsia="楷体_GB2312" w:cs="Times New Roman"/>
          <w:snapToGrid w:val="0"/>
          <w:kern w:val="0"/>
          <w:sz w:val="32"/>
          <w:szCs w:val="32"/>
          <w:lang w:val="en-US" w:eastAsia="zh-CN"/>
        </w:rPr>
        <w:t>（二）陕西化建公司：</w:t>
      </w:r>
      <w:r>
        <w:rPr>
          <w:rFonts w:hint="eastAsia" w:ascii="仿宋_GB2312" w:hAnsi="Calibri" w:eastAsia="仿宋_GB2312"/>
          <w:b/>
          <w:bCs/>
          <w:snapToGrid w:val="0"/>
          <w:kern w:val="0"/>
          <w:sz w:val="32"/>
          <w:szCs w:val="32"/>
          <w:lang w:val="en-US" w:eastAsia="zh-CN"/>
        </w:rPr>
        <w:t>一是</w:t>
      </w:r>
      <w:r>
        <w:rPr>
          <w:rFonts w:hint="eastAsia" w:ascii="仿宋_GB2312" w:hAnsi="Calibri" w:eastAsia="仿宋_GB2312"/>
          <w:snapToGrid w:val="0"/>
          <w:kern w:val="0"/>
          <w:sz w:val="32"/>
          <w:szCs w:val="32"/>
          <w:lang w:val="en-US" w:eastAsia="zh-CN"/>
        </w:rPr>
        <w:t>落实安全教育培训主体责任，制定培训计划，保障培训经费。规范内容：按照国家规定，培训内容应包括安全生产法律法规、安全操作规程、应急处理等。分类培训：针对不同岗位和人员，开展新员工岗前培训、在岗定期培训、特种作业人员专项培训等。建立培训考核机制，确保员工通过考核后方可上岗。建立安全生产责任制，明确各级管理人员和员工的安全职责。对安全事故责任人进行严肃处理，强化责任意识。</w:t>
      </w:r>
      <w:r>
        <w:rPr>
          <w:rFonts w:hint="eastAsia" w:ascii="仿宋_GB2312" w:hAnsi="Calibri" w:eastAsia="仿宋_GB2312"/>
          <w:b/>
          <w:bCs/>
          <w:snapToGrid w:val="0"/>
          <w:kern w:val="0"/>
          <w:sz w:val="32"/>
          <w:szCs w:val="32"/>
          <w:lang w:val="en-US" w:eastAsia="zh-CN"/>
        </w:rPr>
        <w:t>二是</w:t>
      </w:r>
      <w:r>
        <w:rPr>
          <w:rFonts w:hint="eastAsia" w:ascii="仿宋_GB2312" w:hAnsi="Calibri" w:eastAsia="仿宋_GB2312"/>
          <w:snapToGrid w:val="0"/>
          <w:kern w:val="0"/>
          <w:sz w:val="32"/>
          <w:szCs w:val="32"/>
          <w:lang w:val="en-US" w:eastAsia="zh-CN"/>
        </w:rPr>
        <w:t>开展日常、定期和专项安全检查，及时发现和消除安全隐患。隐患整改：对检查中发现的问题，制定整改措施，明确责任人和整改期限，确保隐患及时整改。针对可能发生的突发事件，制定应急预案，明确应急响应程序和职责。定期组织应急演练，提高员工应对突发事件的能力。加强对安全管理制度执行情况的监督检查，确保制度落实到位。将安全管理纳入绩效考核，激励员工积极参与安全管理。</w:t>
      </w:r>
      <w:r>
        <w:rPr>
          <w:rFonts w:hint="eastAsia" w:ascii="仿宋_GB2312" w:hAnsi="Calibri" w:eastAsia="仿宋_GB2312"/>
          <w:b/>
          <w:bCs/>
          <w:snapToGrid w:val="0"/>
          <w:kern w:val="0"/>
          <w:sz w:val="32"/>
          <w:szCs w:val="32"/>
          <w:lang w:val="en-US" w:eastAsia="zh-CN"/>
        </w:rPr>
        <w:t>三是</w:t>
      </w:r>
      <w:r>
        <w:rPr>
          <w:rFonts w:hint="eastAsia" w:ascii="仿宋_GB2312" w:hAnsi="Calibri" w:eastAsia="仿宋_GB2312"/>
          <w:snapToGrid w:val="0"/>
          <w:kern w:val="0"/>
          <w:sz w:val="32"/>
          <w:szCs w:val="32"/>
          <w:lang w:val="en-US" w:eastAsia="zh-CN"/>
        </w:rPr>
        <w:t>加强隐患排查与整改。对所有领域、环节、岗位进行排查，不留死角。借助专家和技术手段，提高排查的准确性和专业性。建立隐患台账，跟踪整改进度，确保问题彻底解决。对整改不力的个人或分包单位，给予处罚，形成震慑效应。</w:t>
      </w:r>
      <w:r>
        <w:rPr>
          <w:rFonts w:hint="eastAsia" w:ascii="仿宋_GB2312" w:hAnsi="Calibri" w:eastAsia="仿宋_GB2312"/>
          <w:b/>
          <w:bCs/>
          <w:snapToGrid w:val="0"/>
          <w:kern w:val="0"/>
          <w:sz w:val="32"/>
          <w:szCs w:val="32"/>
          <w:lang w:val="en-US" w:eastAsia="zh-CN"/>
        </w:rPr>
        <w:t>四是</w:t>
      </w:r>
      <w:r>
        <w:rPr>
          <w:rFonts w:hint="eastAsia" w:ascii="仿宋_GB2312" w:hAnsi="Calibri" w:eastAsia="仿宋_GB2312"/>
          <w:snapToGrid w:val="0"/>
          <w:kern w:val="0"/>
          <w:sz w:val="32"/>
          <w:szCs w:val="32"/>
          <w:lang w:val="en-US" w:eastAsia="zh-CN"/>
        </w:rPr>
        <w:t>加强劳务分包队伍的管理。设专人管理，加强从业人员工牌、工服的管理，项目结束及时收回工牌工服,取消进厂作业资格。加大巡查力度，确保不出现公司所属劳务人员串岗作业或在岗期间干私活等。制定《关于组织对分包单位安全管理自查自纠工作的通知》，开展常态化的分包单位安全管理自查自纠，落实分包单位安全过程管理，切实将总承包管理责任落地落实。严格执行班前安全风险告知制度，做好班前作业风险识别和风险管控措施， 突出特殊危险作业安全措施落实和现场应急处置等关键环节，重点提高作业人员应急避险、逃生自救等安全知识，切实提升全员安全意识、安全技能和应急处置能力，坚决防范和遏制生产安全事故的发生。</w:t>
      </w:r>
    </w:p>
    <w:p w14:paraId="2AFE7F2C">
      <w:pPr>
        <w:keepNext w:val="0"/>
        <w:keepLines w:val="0"/>
        <w:pageBreakBefore w:val="0"/>
        <w:wordWrap/>
        <w:overflowPunct/>
        <w:topLinePunct w:val="0"/>
        <w:bidi w:val="0"/>
        <w:spacing w:line="540" w:lineRule="exact"/>
        <w:ind w:firstLine="632" w:firstLineChars="200"/>
        <w:jc w:val="both"/>
        <w:rPr>
          <w:rFonts w:hint="eastAsia" w:ascii="黑体" w:hAnsi="黑体" w:eastAsia="黑体" w:cs="黑体"/>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 xml:space="preserve">五、存在问题及措施建议 </w:t>
      </w:r>
    </w:p>
    <w:p w14:paraId="53BF9FC4">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 xml:space="preserve">通过评估核查，评估组认为延长县政府相关单位及相关企业均能按照事故调查报告的要求，认真落实责任追究和整改措施，但在举一反三汲取事故教训方面尚存在一定不足，提出如下建议： </w:t>
      </w:r>
    </w:p>
    <w:p w14:paraId="07D48914">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一）延长县相关单位要持续加强对外包队伍的监管，严格落实“四个一律”执法措施，即停产整顿、上限处罚、关闭取缔、追究法律责任。对问题突出的企业除行政处罚外，还要采取通报曝光、纳入“黑名单”、实施联合惩戒等措施，真正形成监管执法威慑，倒逼企业扎实落实安全生产主体责任。</w:t>
      </w:r>
    </w:p>
    <w:p w14:paraId="083D768F">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二）延长油田气化工科技公司要将外包工程的安全管理纳入本企业的安全生产工作统一管理，要持续建立完善承包单位安全准入、定期检查、教育培训、安全评价与退出机制，确保外包项目安全管理始终处于受控和在控状态。特别要对承包企业开展经常性的安全检查，完善对承包企业的安全考核工作；要严格危险作业安全管控，加强安全技术交底，采取必要的监护措施。</w:t>
      </w:r>
    </w:p>
    <w:p w14:paraId="0ABA7070">
      <w:pPr>
        <w:keepNext w:val="0"/>
        <w:keepLines w:val="0"/>
        <w:pageBreakBefore w:val="0"/>
        <w:wordWrap/>
        <w:overflowPunct/>
        <w:topLinePunct w:val="0"/>
        <w:bidi w:val="0"/>
        <w:spacing w:line="540" w:lineRule="exact"/>
        <w:ind w:firstLine="632" w:firstLineChars="200"/>
        <w:jc w:val="both"/>
        <w:rPr>
          <w:rFonts w:hint="eastAsia" w:ascii="黑体" w:hAnsi="黑体" w:eastAsia="黑体" w:cs="黑体"/>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 xml:space="preserve">六、评估组评估意见 </w:t>
      </w:r>
    </w:p>
    <w:p w14:paraId="775AC7FF">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评估组经综合评估后认为，延长县政府相关单位及相关企业均能依据市政府批复意见，对有关责任单位及责任人员作出相关处理，未发现不按规定落实责任追究的问题。有关单位和企业均能认真汲取事故教训，按照事故调查报告的要求建章立制，查漏补缺，落实事故各项责任追究和整改措施。</w:t>
      </w:r>
    </w:p>
    <w:p w14:paraId="0525AEA5">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 xml:space="preserve">            </w:t>
      </w:r>
    </w:p>
    <w:p w14:paraId="5CB66DE0">
      <w:pPr>
        <w:keepNext w:val="0"/>
        <w:keepLines w:val="0"/>
        <w:pageBreakBefore w:val="0"/>
        <w:wordWrap/>
        <w:overflowPunct/>
        <w:topLinePunct w:val="0"/>
        <w:bidi w:val="0"/>
        <w:spacing w:line="540" w:lineRule="exact"/>
        <w:ind w:firstLine="632" w:firstLineChars="2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 xml:space="preserve">         </w:t>
      </w:r>
    </w:p>
    <w:p w14:paraId="5E308CD5">
      <w:pPr>
        <w:keepNext w:val="0"/>
        <w:keepLines w:val="0"/>
        <w:pageBreakBefore w:val="0"/>
        <w:wordWrap/>
        <w:overflowPunct/>
        <w:topLinePunct w:val="0"/>
        <w:bidi w:val="0"/>
        <w:spacing w:line="540" w:lineRule="exact"/>
        <w:ind w:firstLine="3792" w:firstLineChars="1200"/>
        <w:jc w:val="both"/>
        <w:rPr>
          <w:rFonts w:hint="eastAsia" w:ascii="仿宋_GB2312" w:hAnsi="Calibri" w:eastAsia="仿宋_GB2312"/>
          <w:snapToGrid w:val="0"/>
          <w:kern w:val="0"/>
          <w:sz w:val="32"/>
          <w:szCs w:val="32"/>
          <w:lang w:eastAsia="zh-CN"/>
        </w:rPr>
      </w:pPr>
      <w:r>
        <w:rPr>
          <w:rFonts w:hint="eastAsia" w:ascii="仿宋_GB2312" w:hAnsi="Calibri" w:eastAsia="仿宋_GB2312"/>
          <w:snapToGrid w:val="0"/>
          <w:kern w:val="0"/>
          <w:sz w:val="32"/>
          <w:szCs w:val="32"/>
          <w:lang w:eastAsia="zh-CN"/>
        </w:rPr>
        <w:t>延安市安全生产委员会办公室</w:t>
      </w:r>
    </w:p>
    <w:p w14:paraId="33833227">
      <w:pPr>
        <w:keepNext w:val="0"/>
        <w:keepLines w:val="0"/>
        <w:pageBreakBefore w:val="0"/>
        <w:wordWrap/>
        <w:overflowPunct/>
        <w:topLinePunct w:val="0"/>
        <w:bidi w:val="0"/>
        <w:spacing w:line="540" w:lineRule="exact"/>
        <w:ind w:firstLine="4740" w:firstLineChars="1500"/>
        <w:jc w:val="both"/>
        <w:rPr>
          <w:rFonts w:hint="eastAsia" w:ascii="仿宋_GB2312" w:hAnsi="Calibri" w:eastAsia="仿宋_GB2312"/>
          <w:snapToGrid w:val="0"/>
          <w:kern w:val="0"/>
          <w:sz w:val="32"/>
          <w:szCs w:val="32"/>
          <w:lang w:val="en-US" w:eastAsia="zh-CN"/>
        </w:rPr>
      </w:pPr>
      <w:r>
        <w:rPr>
          <w:rFonts w:hint="eastAsia" w:ascii="仿宋_GB2312" w:hAnsi="Calibri" w:eastAsia="仿宋_GB2312"/>
          <w:snapToGrid w:val="0"/>
          <w:kern w:val="0"/>
          <w:sz w:val="32"/>
          <w:szCs w:val="32"/>
          <w:lang w:val="en-US" w:eastAsia="zh-CN"/>
        </w:rPr>
        <w:t>2025年11月8日</w:t>
      </w:r>
    </w:p>
    <w:p w14:paraId="684C7209">
      <w:pPr>
        <w:keepNext w:val="0"/>
        <w:keepLines w:val="0"/>
        <w:pageBreakBefore w:val="0"/>
        <w:wordWrap/>
        <w:overflowPunct/>
        <w:topLinePunct w:val="0"/>
        <w:bidi w:val="0"/>
        <w:spacing w:line="560" w:lineRule="exact"/>
        <w:jc w:val="both"/>
        <w:rPr>
          <w:rFonts w:hint="eastAsia" w:ascii="方正小标宋_GBK" w:hAnsi="方正小标宋_GBK" w:eastAsia="方正小标宋_GBK" w:cs="方正小标宋_GBK"/>
          <w:snapToGrid w:val="0"/>
          <w:kern w:val="0"/>
          <w:sz w:val="36"/>
          <w:szCs w:val="36"/>
          <w:lang w:eastAsia="zh-CN"/>
        </w:rPr>
      </w:pPr>
    </w:p>
    <w:p w14:paraId="58830BD9">
      <w:pPr>
        <w:tabs>
          <w:tab w:val="left" w:pos="778"/>
        </w:tabs>
        <w:bidi w:val="0"/>
        <w:jc w:val="left"/>
        <w:rPr>
          <w:rFonts w:hint="eastAsia"/>
          <w:lang w:val="en-US" w:eastAsia="zh-CN"/>
        </w:rPr>
      </w:pPr>
    </w:p>
    <w:sectPr>
      <w:footerReference r:id="rId3" w:type="default"/>
      <w:footerReference r:id="rId4" w:type="even"/>
      <w:pgSz w:w="11906" w:h="16838"/>
      <w:pgMar w:top="2098" w:right="1474" w:bottom="1984" w:left="1588" w:header="851" w:footer="1400" w:gutter="0"/>
      <w:pgNumType w:fmt="decimal"/>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41FE">
    <w:pPr>
      <w:pStyle w:val="4"/>
      <w:ind w:right="320" w:rightChars="100"/>
      <w:jc w:val="righ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18381">
    <w:pPr>
      <w:pStyle w:val="4"/>
      <w:ind w:firstLine="280" w:firstLineChars="100"/>
      <w:jc w:val="lef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231D76"/>
    <w:rsid w:val="029D5F34"/>
    <w:rsid w:val="03350F8B"/>
    <w:rsid w:val="06103C8B"/>
    <w:rsid w:val="0C2D757F"/>
    <w:rsid w:val="0C75337C"/>
    <w:rsid w:val="0FC41FA8"/>
    <w:rsid w:val="11FF0304"/>
    <w:rsid w:val="1453551E"/>
    <w:rsid w:val="14D0319D"/>
    <w:rsid w:val="1585667E"/>
    <w:rsid w:val="1651030E"/>
    <w:rsid w:val="17D87EE8"/>
    <w:rsid w:val="193B777F"/>
    <w:rsid w:val="1AEB27C0"/>
    <w:rsid w:val="1B9368CB"/>
    <w:rsid w:val="1F5F247E"/>
    <w:rsid w:val="233A0AA7"/>
    <w:rsid w:val="241A569F"/>
    <w:rsid w:val="260C113A"/>
    <w:rsid w:val="2B9047D9"/>
    <w:rsid w:val="2C04518B"/>
    <w:rsid w:val="2E186DC0"/>
    <w:rsid w:val="2FA82E34"/>
    <w:rsid w:val="32BC3287"/>
    <w:rsid w:val="337E678E"/>
    <w:rsid w:val="3428494C"/>
    <w:rsid w:val="353C245D"/>
    <w:rsid w:val="39AD7EAE"/>
    <w:rsid w:val="39EF6AE1"/>
    <w:rsid w:val="3E693B97"/>
    <w:rsid w:val="3F8213B4"/>
    <w:rsid w:val="479820BD"/>
    <w:rsid w:val="4FB07878"/>
    <w:rsid w:val="59865CDD"/>
    <w:rsid w:val="598E4A2C"/>
    <w:rsid w:val="59E20F76"/>
    <w:rsid w:val="6051650D"/>
    <w:rsid w:val="60AE63FA"/>
    <w:rsid w:val="60C473F6"/>
    <w:rsid w:val="628635DB"/>
    <w:rsid w:val="640D4E41"/>
    <w:rsid w:val="6549634D"/>
    <w:rsid w:val="66F95B50"/>
    <w:rsid w:val="670151B2"/>
    <w:rsid w:val="67601162"/>
    <w:rsid w:val="69FA7C16"/>
    <w:rsid w:val="6A1F58CE"/>
    <w:rsid w:val="6F13110F"/>
    <w:rsid w:val="71685DAD"/>
    <w:rsid w:val="76D90BB3"/>
    <w:rsid w:val="77BE04D4"/>
    <w:rsid w:val="79AD0E19"/>
    <w:rsid w:val="7BDC361F"/>
    <w:rsid w:val="7D231D76"/>
    <w:rsid w:val="7D761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仿宋_GB2312" w:hAnsi="仿宋_GB2312" w:eastAsia="仿宋_GB2312" w:cs="仿宋_GB2312"/>
      <w:kern w:val="2"/>
      <w:sz w:val="32"/>
      <w:szCs w:val="22"/>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ind w:firstLine="210"/>
    </w:pPr>
    <w:rPr>
      <w:rFonts w:ascii="宋体"/>
      <w:sz w:val="24"/>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3215</Words>
  <Characters>3272</Characters>
  <Lines>0</Lines>
  <Paragraphs>0</Paragraphs>
  <TotalTime>47</TotalTime>
  <ScaleCrop>false</ScaleCrop>
  <LinksUpToDate>false</LinksUpToDate>
  <CharactersWithSpaces>3306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2025-11-10T00:55:00Z</dcterms:created>
  <dc:creator>⚔马特</dc:creator>
  <cp:lastModifiedBy>Ding_Tao</cp:lastModifiedBy>
  <cp:lastPrinted>2026-05-06T02:24:00Z</cp:lastPrinted>
  <dcterms:modified xsi:type="dcterms:W3CDTF">2026-05-12T00:52:02Z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9C0DB611573740CCB483E4FFAE98DC2C_13</vt:lpwstr>
  </property>
  <property fmtid="{D5CDD505-2E9C-101B-9397-08002B2CF9AE}" pid="4" name="KSOTemplateDocerSaveRecord">
    <vt:lpwstr>eyJoZGlkIjoiNWQ5MWQ1MTM2ZGU1YTMzOWJmNTFlYmQyZWQyZDJlOTgiLCJ1c2VySWQiOiI0MzQwMTQ4MTMifQ==</vt:lpwstr>
  </property>
</Properties>
</file>