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000000"/>
          <w:sz w:val="44"/>
          <w:szCs w:val="44"/>
          <w:lang w:val="en-US" w:eastAsia="zh-CN"/>
        </w:rPr>
      </w:pPr>
      <w:bookmarkStart w:id="0" w:name="_Toc13274"/>
      <w:r>
        <w:rPr>
          <w:rFonts w:hint="eastAsia" w:ascii="方正小标宋简体" w:hAnsi="方正小标宋简体" w:eastAsia="方正小标宋简体" w:cs="方正小标宋简体"/>
          <w:color w:val="000000"/>
          <w:sz w:val="44"/>
          <w:szCs w:val="44"/>
          <w:lang w:val="en-US" w:eastAsia="zh-CN"/>
        </w:rPr>
        <w:t>连江县凤城镇县标环岛路段</w:t>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“5·14”道路交通事故调查报告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000000"/>
          <w:sz w:val="32"/>
          <w:szCs w:val="32"/>
          <w:lang w:val="en-US" w:eastAsia="zh-CN"/>
        </w:rPr>
      </w:pPr>
      <w:bookmarkStart w:id="1" w:name="_Toc29741"/>
      <w:r>
        <w:rPr>
          <w:rFonts w:hint="eastAsia" w:ascii="仿宋_GB2312" w:hAnsi="仿宋_GB2312" w:eastAsia="仿宋_GB2312" w:cs="仿宋_GB2312"/>
          <w:color w:val="000000"/>
          <w:sz w:val="32"/>
          <w:szCs w:val="32"/>
          <w:lang w:val="en-US" w:eastAsia="zh-CN"/>
        </w:rPr>
        <w:t>连江县政府事故调查组</w:t>
      </w:r>
      <w:bookmarkEnd w:id="1"/>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2024年6月6日</w:t>
      </w:r>
    </w:p>
    <w:p>
      <w:pPr>
        <w:keepNext w:val="0"/>
        <w:keepLines w:val="0"/>
        <w:pageBreakBefore w:val="0"/>
        <w:widowControl w:val="0"/>
        <w:kinsoku/>
        <w:wordWrap/>
        <w:overflowPunct/>
        <w:topLinePunct w:val="0"/>
        <w:autoSpaceDN/>
        <w:bidi w:val="0"/>
        <w:adjustRightInd/>
        <w:snapToGrid/>
        <w:spacing w:line="500" w:lineRule="exact"/>
        <w:jc w:val="center"/>
        <w:textAlignment w:val="auto"/>
        <w:rPr>
          <w:rFonts w:hint="eastAsia" w:ascii="仿宋_GB2312" w:hAnsi="仿宋_GB2312" w:eastAsia="仿宋_GB2312" w:cs="仿宋_GB2312"/>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p>
    <w:sdt>
      <w:sdtPr>
        <w:rPr>
          <w:rFonts w:hint="eastAsia" w:ascii="仿宋_GB2312" w:hAnsi="仿宋_GB2312" w:eastAsia="仿宋_GB2312" w:cs="仿宋_GB2312"/>
          <w:b/>
          <w:bCs/>
          <w:color w:val="000000"/>
          <w:sz w:val="32"/>
          <w:szCs w:val="32"/>
          <w:lang w:val="en-US" w:eastAsia="zh-CN"/>
        </w:rPr>
        <w:id w:val="147468175"/>
        <w15:color w:val="DBDBDB"/>
        <w:docPartObj>
          <w:docPartGallery w:val="Table of Contents"/>
          <w:docPartUnique/>
        </w:docPartObj>
      </w:sdtPr>
      <w:sdtEndPr>
        <w:rPr>
          <w:rFonts w:hint="eastAsia" w:ascii="仿宋_GB2312" w:hAnsi="仿宋_GB2312" w:eastAsia="仿宋_GB2312" w:cs="仿宋_GB2312"/>
          <w:b/>
          <w:bCs/>
          <w:color w:val="000000"/>
          <w:sz w:val="32"/>
          <w:szCs w:val="32"/>
          <w:lang w:val="en-US" w:eastAsia="zh-CN"/>
        </w:rPr>
      </w:sdtEndPr>
      <w:sdtContent>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目录</w:t>
          </w:r>
        </w:p>
        <w:p>
          <w:pPr>
            <w:pStyle w:val="6"/>
            <w:tabs>
              <w:tab w:val="right" w:leader="dot" w:pos="8306"/>
            </w:tabs>
          </w:pPr>
          <w:r>
            <w:fldChar w:fldCharType="begin"/>
          </w:r>
          <w:r>
            <w:instrText xml:space="preserve">TOC \o "1-3" \h \u </w:instrText>
          </w:r>
          <w:r>
            <w:fldChar w:fldCharType="separate"/>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_Toc19813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事故基本情况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_Toc19813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（一）事故单位及相关人员概况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_Toc11207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1.事故单位概况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_Toc11207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_Toc8623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2.事故车辆情况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_Toc8623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_Toc18495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lang w:val="en-US" w:eastAsia="zh-CN"/>
            </w:rPr>
            <w:t>3.事故车辆驾驶人情况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_Toc18495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lang w:val="en-US" w:eastAsia="zh-CN"/>
            </w:rPr>
            <w:t>事故单位安全管理情况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lang w:val="en-US" w:eastAsia="zh-CN"/>
            </w:rPr>
            <w:t>事故发生经过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_Toc28837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_Toc17503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（四）事故现场情况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_Toc17503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_Toc16093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（五）人员伤亡和直接经济损失情况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_Toc16093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_Toc6419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lang w:val="en-US" w:eastAsia="zh-CN"/>
            </w:rPr>
            <w:t>事故应急处置及评估情况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_Toc6419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_Toc27987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（一）事故信息接报及应急处置情况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_Toc18458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（二）善后情况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_Toc18458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kern w:val="2"/>
              <w:sz w:val="32"/>
              <w:szCs w:val="32"/>
              <w:lang w:val="en-US" w:eastAsia="zh-CN" w:bidi="ar-SA"/>
            </w:rPr>
            <w:t>三、</w:t>
          </w:r>
          <w:r>
            <w:rPr>
              <w:rFonts w:hint="eastAsia" w:ascii="仿宋_GB2312" w:hAnsi="仿宋_GB2312" w:eastAsia="仿宋_GB2312" w:cs="仿宋_GB2312"/>
              <w:sz w:val="32"/>
              <w:szCs w:val="32"/>
              <w:lang w:val="en-US" w:eastAsia="zh-CN"/>
            </w:rPr>
            <w:t>事故原因分析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_Toc20045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（一）直接原因分析</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_Toc20045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_Toc27279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（二）事故车辆技术鉴定情况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_Toc27279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_Toc31459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四、对有关责任人员和责任单位的处理建议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_Toc31459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_Toc21128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（一）已被司法机关采取强制措施人员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_Toc21128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_Toc17624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（二）建议企业主管部门调查处理的单位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fldChar w:fldCharType="end"/>
          </w:r>
        </w:p>
        <w:p>
          <w:pPr>
            <w:pStyle w:val="6"/>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_Toc20576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六、事故整改和防范措施建议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_Toc20576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r>
            <w:fldChar w:fldCharType="end"/>
          </w:r>
        </w:p>
      </w:sdtContent>
    </w:sdt>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2023年5月14日15时51分许，国道104线2291KM+200M连江县凤城镇县标环岛路口发生一起重型半挂牵引车后挂重型罐式半挂车与普通二轮摩托车碰撞，造成1人死亡的一般道路交通事故。</w:t>
      </w:r>
      <w:r>
        <w:rPr>
          <w:rFonts w:hint="eastAsia" w:ascii="仿宋_GB2312" w:hAnsi="仿宋_GB2312" w:eastAsia="仿宋_GB2312" w:cs="仿宋_GB2312"/>
          <w:color w:val="000000"/>
          <w:sz w:val="32"/>
          <w:szCs w:val="32"/>
        </w:rPr>
        <w:t>根据《安全生产法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生产安全事故报告和调查处理条例》（国务院493号令）和福建省人民政府安委会办公室关于印发《防范道路运输车辆事故安全风险十项措施的通知》（闽安委办〔2022〕73 号）的有关规定，县政府成立了连江县凤城镇县标环岛路段“5·14”道路交通事故调查组</w:t>
      </w:r>
      <w:r>
        <w:rPr>
          <w:rFonts w:hint="eastAsia" w:ascii="仿宋_GB2312" w:hAnsi="仿宋_GB2312" w:eastAsia="仿宋_GB2312" w:cs="仿宋_GB2312"/>
          <w:color w:val="000000"/>
          <w:sz w:val="32"/>
          <w:szCs w:val="32"/>
          <w:lang w:eastAsia="zh-CN"/>
        </w:rPr>
        <w:t>（以下简称事故调查组）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由县安办牵头</w:t>
      </w:r>
      <w:r>
        <w:rPr>
          <w:rFonts w:hint="eastAsia" w:ascii="仿宋_GB2312" w:hAnsi="仿宋_GB2312" w:eastAsia="仿宋_GB2312" w:cs="仿宋_GB2312"/>
          <w:color w:val="000000"/>
          <w:sz w:val="32"/>
          <w:szCs w:val="32"/>
        </w:rPr>
        <w:t>组织</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应急局、县</w:t>
      </w:r>
      <w:r>
        <w:rPr>
          <w:rFonts w:hint="eastAsia" w:ascii="仿宋_GB2312" w:hAnsi="仿宋_GB2312" w:eastAsia="仿宋_GB2312" w:cs="仿宋_GB2312"/>
          <w:color w:val="000000"/>
          <w:sz w:val="32"/>
          <w:szCs w:val="32"/>
        </w:rPr>
        <w:t>公安局、</w:t>
      </w:r>
      <w:r>
        <w:rPr>
          <w:rFonts w:hint="eastAsia" w:ascii="仿宋_GB2312" w:hAnsi="仿宋_GB2312" w:eastAsia="仿宋_GB2312" w:cs="仿宋_GB2312"/>
          <w:color w:val="000000"/>
          <w:sz w:val="32"/>
          <w:szCs w:val="32"/>
          <w:lang w:val="en-US" w:eastAsia="zh-CN"/>
        </w:rPr>
        <w:t>交通局、公路事业发展中心、</w:t>
      </w:r>
      <w:r>
        <w:rPr>
          <w:rFonts w:hint="eastAsia" w:ascii="仿宋_GB2312" w:hAnsi="仿宋_GB2312" w:eastAsia="仿宋_GB2312" w:cs="仿宋_GB2312"/>
          <w:color w:val="000000"/>
          <w:sz w:val="32"/>
          <w:szCs w:val="32"/>
        </w:rPr>
        <w:t>总工会</w:t>
      </w:r>
      <w:r>
        <w:rPr>
          <w:rFonts w:hint="eastAsia" w:ascii="仿宋_GB2312" w:hAnsi="仿宋_GB2312" w:eastAsia="仿宋_GB2312" w:cs="仿宋_GB2312"/>
          <w:color w:val="000000"/>
          <w:sz w:val="32"/>
          <w:szCs w:val="32"/>
          <w:lang w:eastAsia="zh-CN"/>
        </w:rPr>
        <w:t>等单位开展</w:t>
      </w:r>
      <w:r>
        <w:rPr>
          <w:rFonts w:hint="eastAsia" w:ascii="仿宋_GB2312" w:hAnsi="仿宋_GB2312" w:eastAsia="仿宋_GB2312" w:cs="仿宋_GB2312"/>
          <w:color w:val="000000"/>
          <w:sz w:val="32"/>
          <w:szCs w:val="32"/>
        </w:rPr>
        <w:t>事故调查，同时邀请</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纪委监委</w:t>
      </w:r>
      <w:r>
        <w:rPr>
          <w:rFonts w:hint="eastAsia" w:ascii="仿宋_GB2312" w:hAnsi="仿宋_GB2312" w:eastAsia="仿宋_GB2312" w:cs="仿宋_GB2312"/>
          <w:color w:val="000000"/>
          <w:sz w:val="32"/>
          <w:szCs w:val="32"/>
        </w:rPr>
        <w:t>、检察院派人参加。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按照“四不放过”和“科学严谨、依法依规、实事求是、注重实效”的原则，通过现场勘验、调查取证和综合分析等方式，查明了事故发生的原因、经过、应急处置、人员伤亡情况和直接经济损失情况，认定了事故性质和责任，提出了对相关责任单位和责任人员的处理建议，并针对事故原因及暴露出的问题，提出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经调查认定，连江县凤城镇县标环岛路段“5·14”道路交通事故是一起因重型车驾驶员未注意观察路面，遇险情采取措施不及造成的一般经营性道路交通生产安全责任事故。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黑体" w:hAnsi="黑体" w:eastAsia="黑体" w:cs="黑体"/>
          <w:color w:val="000000"/>
          <w:kern w:val="2"/>
          <w:sz w:val="32"/>
          <w:szCs w:val="32"/>
          <w:lang w:val="en-US" w:eastAsia="zh-CN" w:bidi="ar-SA"/>
        </w:rPr>
      </w:pPr>
      <w:bookmarkStart w:id="2" w:name="_Toc1981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黑体" w:hAnsi="黑体" w:eastAsia="黑体" w:cs="黑体"/>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黑体" w:hAnsi="黑体" w:eastAsia="黑体" w:cs="黑体"/>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firstLine="0" w:firstLineChars="0"/>
        <w:jc w:val="both"/>
        <w:textAlignment w:val="auto"/>
        <w:outlineLvl w:val="0"/>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sz w:val="32"/>
          <w:szCs w:val="32"/>
          <w:lang w:val="en-US" w:eastAsia="zh-CN"/>
        </w:rPr>
        <w:t>事故基本情况</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both"/>
        <w:textAlignment w:val="auto"/>
        <w:outlineLvl w:val="1"/>
        <w:rPr>
          <w:rFonts w:hint="eastAsia" w:ascii="楷体_GB2312" w:hAnsi="楷体_GB2312" w:eastAsia="楷体_GB2312" w:cs="楷体_GB2312"/>
          <w:color w:val="000000"/>
          <w:sz w:val="32"/>
          <w:szCs w:val="32"/>
          <w:lang w:val="en-US" w:eastAsia="zh-CN"/>
        </w:rPr>
      </w:pPr>
      <w:bookmarkStart w:id="3" w:name="_Toc3195"/>
      <w:r>
        <w:rPr>
          <w:rFonts w:hint="eastAsia" w:ascii="楷体_GB2312" w:hAnsi="楷体_GB2312" w:eastAsia="楷体_GB2312" w:cs="楷体_GB2312"/>
          <w:color w:val="000000"/>
          <w:sz w:val="32"/>
          <w:szCs w:val="32"/>
          <w:lang w:val="en-US" w:eastAsia="zh-CN"/>
        </w:rPr>
        <w:t>（一）事故单位及相关人员概况</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both"/>
        <w:textAlignment w:val="auto"/>
        <w:outlineLvl w:val="2"/>
        <w:rPr>
          <w:rFonts w:hint="default" w:ascii="楷体_GB2312" w:hAnsi="楷体_GB2312" w:eastAsia="楷体_GB2312" w:cs="楷体_GB2312"/>
          <w:color w:val="000000"/>
          <w:sz w:val="32"/>
          <w:szCs w:val="32"/>
          <w:lang w:val="en-US" w:eastAsia="zh-CN"/>
        </w:rPr>
      </w:pPr>
      <w:bookmarkStart w:id="4" w:name="_Toc11207"/>
      <w:r>
        <w:rPr>
          <w:rFonts w:hint="eastAsia" w:ascii="仿宋_GB2312" w:hAnsi="仿宋_GB2312" w:eastAsia="仿宋_GB2312" w:cs="仿宋_GB2312"/>
          <w:b/>
          <w:bCs/>
          <w:color w:val="000000"/>
          <w:sz w:val="32"/>
          <w:szCs w:val="32"/>
          <w:lang w:val="en-US" w:eastAsia="zh-CN"/>
        </w:rPr>
        <w:t>1.事故单位概况</w:t>
      </w:r>
      <w:bookmarkEnd w:id="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b w:val="0"/>
          <w:bCs w:val="0"/>
          <w:color w:val="000000"/>
          <w:sz w:val="32"/>
          <w:szCs w:val="32"/>
          <w:lang w:val="en-US" w:eastAsia="zh-CN"/>
        </w:rPr>
        <w:t>福州金福源物流有限公司，统一社会信用代码：913501225895599</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，住所：连江县</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镇</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办公楼一层（经营场所：福建省福州市连江县</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镇</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路</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号</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层），类型：有限责任公司，法定代表人：杨</w:t>
      </w:r>
      <w:r>
        <w:rPr>
          <w:rFonts w:hint="eastAsia" w:ascii="仿宋" w:hAnsi="仿宋" w:eastAsia="仿宋"/>
          <w:sz w:val="32"/>
          <w:szCs w:val="32"/>
          <w:lang w:val="en-US" w:eastAsia="zh-CN"/>
        </w:rPr>
        <w:t>**</w:t>
      </w:r>
      <w:r>
        <w:rPr>
          <w:rFonts w:hint="default" w:ascii="仿宋_GB2312" w:hAnsi="仿宋_GB2312" w:eastAsia="仿宋_GB2312" w:cs="仿宋_GB2312"/>
          <w:b w:val="0"/>
          <w:bCs w:val="0"/>
          <w:color w:val="000000"/>
          <w:sz w:val="32"/>
          <w:szCs w:val="32"/>
          <w:lang w:val="en-US" w:eastAsia="zh-CN"/>
        </w:rPr>
        <w:t>，成立日期2012年01月13日，营业期限2012年01月13日至2062年01月12日。经营范围：普通货运；其他道路货物运输。（依法须经批准的项目，经相关部门批准后方可开展经营活动）。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bookmarkStart w:id="5" w:name="_Toc8623"/>
      <w:r>
        <w:rPr>
          <w:rFonts w:hint="eastAsia" w:ascii="仿宋_GB2312" w:hAnsi="仿宋_GB2312" w:eastAsia="仿宋_GB2312" w:cs="仿宋_GB2312"/>
          <w:b/>
          <w:bCs/>
          <w:color w:val="000000"/>
          <w:sz w:val="32"/>
          <w:szCs w:val="32"/>
          <w:lang w:val="en-US" w:eastAsia="zh-CN"/>
        </w:rPr>
        <w:t>2.事故车辆情况</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闽AR6</w:t>
      </w:r>
      <w:r>
        <w:rPr>
          <w:rFonts w:hint="eastAsia" w:ascii="仿宋" w:hAnsi="仿宋" w:eastAsia="仿宋"/>
          <w:sz w:val="32"/>
          <w:szCs w:val="32"/>
          <w:lang w:val="en-US" w:eastAsia="zh-CN"/>
        </w:rPr>
        <w:t>1**</w:t>
      </w:r>
      <w:r>
        <w:rPr>
          <w:rFonts w:hint="eastAsia" w:ascii="仿宋_GB2312" w:hAnsi="仿宋_GB2312" w:eastAsia="仿宋_GB2312" w:cs="仿宋_GB2312"/>
          <w:color w:val="000000"/>
          <w:sz w:val="32"/>
          <w:szCs w:val="32"/>
          <w:lang w:val="en-US" w:eastAsia="zh-CN"/>
        </w:rPr>
        <w:t>重型半挂牵引车/闽AM4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挂号重型罐式半挂车，所有人：福州金福源物流有限公司，地址：福建省连江县</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镇</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办公楼</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层。闽AR61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重型半挂牵引车,发动机号：200217219</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，车辆识别代号：LZZ1CLVB3LA560</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，初次登记日期：2020年05月22日，检验有效期止：2023年05月31日，状态：正常，准牵引总质量：40000Kg，整备质量：8800Kg。投保于中国太平洋财产保险股份有限公司，交强险保单号：AFUZ00KCTP22B0026</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，商业险保单号：AFUZ00KY2022B0017</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。闽AM4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挂号重型罐式半挂车，发动机号：无，车辆识别代号：LF59DAA37L0G01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，初次登记日期：2020年06月05日，检验有效期止：2023年06月30日，总质量：40000Kg，整备质量：7500Kg，核载质量：32500Kg。</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闽A98J</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号普通二轮摩托车，所有人</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val="en-US" w:eastAsia="zh-CN"/>
        </w:rPr>
        <w:t>邵某某</w:t>
      </w:r>
      <w:r>
        <w:rPr>
          <w:rFonts w:hint="default" w:ascii="仿宋_GB2312" w:hAnsi="仿宋_GB2312" w:eastAsia="仿宋_GB2312" w:cs="仿宋_GB2312"/>
          <w:color w:val="000000"/>
          <w:sz w:val="32"/>
          <w:szCs w:val="32"/>
          <w:lang w:val="en-US" w:eastAsia="zh-CN"/>
        </w:rPr>
        <w:t>，住址：河南省</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县</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乡</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村</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组，身份证号：411523</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241X。发动机号</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A7R058</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，车辆识别代号</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LC6PCJJE2N0028</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，初次登记日期</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2023年02月24日，检验有效期止</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2025年02月28日，状态</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 xml:space="preserve"> 正常，未提供机动车强制险及商业险。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bookmarkStart w:id="6" w:name="_Toc18495"/>
      <w:r>
        <w:rPr>
          <w:rFonts w:hint="eastAsia" w:ascii="仿宋_GB2312" w:hAnsi="仿宋_GB2312" w:eastAsia="仿宋_GB2312" w:cs="仿宋_GB2312"/>
          <w:b/>
          <w:bCs/>
          <w:color w:val="000000"/>
          <w:sz w:val="32"/>
          <w:szCs w:val="32"/>
          <w:lang w:val="en-US" w:eastAsia="zh-CN"/>
        </w:rPr>
        <w:t>3.事故车辆驾驶人情况</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张某某，</w:t>
      </w:r>
      <w:r>
        <w:rPr>
          <w:rFonts w:hint="default" w:ascii="仿宋_GB2312" w:hAnsi="仿宋_GB2312" w:eastAsia="仿宋_GB2312" w:cs="仿宋_GB2312"/>
          <w:color w:val="000000"/>
          <w:sz w:val="32"/>
          <w:szCs w:val="32"/>
          <w:lang w:val="en-US" w:eastAsia="zh-CN"/>
        </w:rPr>
        <w:t>男，汉族，家住四川省</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县</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镇</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村</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组</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号，身份证号码</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510321</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3139，准驾车型</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A1A2D</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驾驶证状态</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正常，档案编号</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510301582</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，事故中驾驶闽AR</w:t>
      </w:r>
      <w:r>
        <w:rPr>
          <w:rFonts w:hint="eastAsia" w:ascii="仿宋_GB2312" w:hAnsi="仿宋_GB2312" w:eastAsia="仿宋_GB2312" w:cs="仿宋_GB2312"/>
          <w:color w:val="000000"/>
          <w:sz w:val="32"/>
          <w:szCs w:val="32"/>
          <w:lang w:val="en-US" w:eastAsia="zh-CN"/>
        </w:rPr>
        <w:t>61</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重型半挂牵引车</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闽AM4</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w:t>
      </w:r>
      <w:r>
        <w:rPr>
          <w:rFonts w:hint="eastAsia" w:ascii="仿宋_GB2312" w:hAnsi="仿宋_GB2312" w:eastAsia="仿宋_GB2312" w:cs="仿宋_GB2312"/>
          <w:color w:val="000000"/>
          <w:sz w:val="32"/>
          <w:szCs w:val="32"/>
          <w:lang w:val="en-US" w:eastAsia="zh-CN"/>
        </w:rPr>
        <w:t>号</w:t>
      </w:r>
      <w:r>
        <w:rPr>
          <w:rFonts w:hint="default" w:ascii="仿宋_GB2312" w:hAnsi="仿宋_GB2312" w:eastAsia="仿宋_GB2312" w:cs="仿宋_GB2312"/>
          <w:color w:val="000000"/>
          <w:sz w:val="32"/>
          <w:szCs w:val="32"/>
          <w:lang w:val="en-US" w:eastAsia="zh-CN"/>
        </w:rPr>
        <w:t>重型罐式半挂车，联系方式</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19950750</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，系福州金福源物流有限公司驾驶员。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死者邵某某，男，汉族，住址：</w:t>
      </w:r>
      <w:r>
        <w:rPr>
          <w:rFonts w:hint="default" w:ascii="仿宋_GB2312" w:hAnsi="仿宋_GB2312" w:eastAsia="仿宋_GB2312" w:cs="仿宋_GB2312"/>
          <w:color w:val="000000"/>
          <w:sz w:val="32"/>
          <w:szCs w:val="32"/>
          <w:lang w:val="en-US" w:eastAsia="zh-CN"/>
        </w:rPr>
        <w:t>河南省</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县</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乡</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村</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组</w:t>
      </w:r>
      <w:r>
        <w:rPr>
          <w:rFonts w:hint="eastAsia" w:ascii="仿宋_GB2312" w:hAnsi="仿宋_GB2312" w:eastAsia="仿宋_GB2312" w:cs="仿宋_GB2312"/>
          <w:color w:val="000000"/>
          <w:sz w:val="32"/>
          <w:szCs w:val="32"/>
          <w:lang w:val="en-US" w:eastAsia="zh-CN"/>
        </w:rPr>
        <w:t>，身份证号码：411523</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241X，准驾车型：C1D，驾驶证状态：正常，档案编号：413001642</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，事故中闽A98J</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号普通二轮摩托车驾驶员，当场死亡，家属联系方式18637211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kern w:val="2"/>
          <w:sz w:val="32"/>
          <w:szCs w:val="32"/>
          <w:lang w:val="en-US" w:eastAsia="zh-CN" w:bidi="ar-SA"/>
        </w:rPr>
        <w:t>（二）事故单位安全管理情况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u w:val="none"/>
          <w:lang w:val="en-US" w:eastAsia="zh-CN"/>
        </w:rPr>
      </w:pPr>
      <w:r>
        <w:rPr>
          <w:rFonts w:hint="default" w:ascii="仿宋_GB2312" w:hAnsi="仿宋_GB2312" w:eastAsia="仿宋_GB2312" w:cs="仿宋_GB2312"/>
          <w:b w:val="0"/>
          <w:bCs w:val="0"/>
          <w:color w:val="000000"/>
          <w:sz w:val="32"/>
          <w:szCs w:val="32"/>
          <w:u w:val="none"/>
          <w:lang w:val="en-US" w:eastAsia="zh-CN"/>
        </w:rPr>
        <w:t>福州金福源物流有限公司</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b/>
          <w:bCs/>
          <w:color w:val="000000"/>
          <w:sz w:val="32"/>
          <w:szCs w:val="32"/>
          <w:u w:val="none"/>
          <w:lang w:val="en-US" w:eastAsia="zh-CN"/>
        </w:rPr>
        <w:t>一是</w:t>
      </w:r>
      <w:r>
        <w:rPr>
          <w:rFonts w:hint="eastAsia" w:ascii="仿宋_GB2312" w:hAnsi="仿宋_GB2312" w:eastAsia="仿宋_GB2312" w:cs="仿宋_GB2312"/>
          <w:color w:val="000000"/>
          <w:sz w:val="32"/>
          <w:szCs w:val="32"/>
          <w:u w:val="none"/>
          <w:lang w:val="en-US" w:eastAsia="zh-CN"/>
        </w:rPr>
        <w:t>设置了安全生产管理机构并配备专职安全生产管理人员，企业主要负责人和安全生产管理人员均取得安全考核合格证明。</w:t>
      </w:r>
      <w:r>
        <w:rPr>
          <w:rFonts w:hint="eastAsia" w:ascii="仿宋_GB2312" w:hAnsi="仿宋_GB2312" w:eastAsia="仿宋_GB2312" w:cs="仿宋_GB2312"/>
          <w:b/>
          <w:bCs/>
          <w:color w:val="000000"/>
          <w:sz w:val="32"/>
          <w:szCs w:val="32"/>
          <w:u w:val="none"/>
          <w:lang w:val="en-US" w:eastAsia="zh-CN"/>
        </w:rPr>
        <w:t>二是</w:t>
      </w:r>
      <w:r>
        <w:rPr>
          <w:rFonts w:hint="eastAsia" w:ascii="仿宋_GB2312" w:hAnsi="仿宋_GB2312" w:eastAsia="仿宋_GB2312" w:cs="仿宋_GB2312"/>
          <w:color w:val="000000"/>
          <w:sz w:val="32"/>
          <w:szCs w:val="32"/>
          <w:u w:val="none"/>
          <w:lang w:val="en-US" w:eastAsia="zh-CN"/>
        </w:rPr>
        <w:t>建立健全并落实了本单位全员安全生产责任制，成立安全生产领导小组并规定职责，签订安全生产责任书，定期召开安全会议。</w:t>
      </w:r>
      <w:r>
        <w:rPr>
          <w:rFonts w:hint="eastAsia" w:ascii="仿宋_GB2312" w:hAnsi="仿宋_GB2312" w:eastAsia="仿宋_GB2312" w:cs="仿宋_GB2312"/>
          <w:b/>
          <w:bCs/>
          <w:color w:val="000000"/>
          <w:sz w:val="32"/>
          <w:szCs w:val="32"/>
          <w:u w:val="none"/>
          <w:lang w:val="en-US" w:eastAsia="zh-CN"/>
        </w:rPr>
        <w:t>三是</w:t>
      </w:r>
      <w:r>
        <w:rPr>
          <w:rFonts w:hint="eastAsia" w:ascii="仿宋_GB2312" w:hAnsi="仿宋_GB2312" w:eastAsia="仿宋_GB2312" w:cs="仿宋_GB2312"/>
          <w:color w:val="000000"/>
          <w:sz w:val="32"/>
          <w:szCs w:val="32"/>
          <w:u w:val="none"/>
          <w:lang w:val="en-US" w:eastAsia="zh-CN"/>
        </w:rPr>
        <w:t>组织制定并实施了本单位安全生产《规章制度手册》和《安全生产操作规程》。</w:t>
      </w:r>
      <w:r>
        <w:rPr>
          <w:rFonts w:hint="eastAsia" w:ascii="仿宋_GB2312" w:hAnsi="仿宋_GB2312" w:eastAsia="仿宋_GB2312" w:cs="仿宋_GB2312"/>
          <w:b/>
          <w:bCs/>
          <w:color w:val="000000"/>
          <w:sz w:val="32"/>
          <w:szCs w:val="32"/>
          <w:u w:val="none"/>
          <w:lang w:val="en-US" w:eastAsia="zh-CN"/>
        </w:rPr>
        <w:t>四是</w:t>
      </w:r>
      <w:r>
        <w:rPr>
          <w:rFonts w:hint="eastAsia" w:ascii="仿宋_GB2312" w:hAnsi="仿宋_GB2312" w:eastAsia="仿宋_GB2312" w:cs="仿宋_GB2312"/>
          <w:b w:val="0"/>
          <w:bCs w:val="0"/>
          <w:color w:val="000000"/>
          <w:sz w:val="32"/>
          <w:szCs w:val="32"/>
          <w:u w:val="none"/>
          <w:lang w:val="en-US" w:eastAsia="zh-CN"/>
        </w:rPr>
        <w:t>建立从业人员安全学习记录表</w:t>
      </w:r>
      <w:r>
        <w:rPr>
          <w:rFonts w:hint="eastAsia" w:ascii="仿宋_GB2312" w:hAnsi="仿宋_GB2312" w:eastAsia="仿宋_GB2312" w:cs="仿宋_GB2312"/>
          <w:color w:val="000000"/>
          <w:sz w:val="32"/>
          <w:szCs w:val="32"/>
          <w:u w:val="none"/>
          <w:lang w:val="en-US" w:eastAsia="zh-CN"/>
        </w:rPr>
        <w:t>，落实了对驾驶员张某某的岗前安全教育和日常安全教育。</w:t>
      </w:r>
      <w:r>
        <w:rPr>
          <w:rFonts w:hint="eastAsia" w:ascii="仿宋_GB2312" w:hAnsi="仿宋_GB2312" w:eastAsia="仿宋_GB2312" w:cs="仿宋_GB2312"/>
          <w:b/>
          <w:bCs/>
          <w:color w:val="000000"/>
          <w:sz w:val="32"/>
          <w:szCs w:val="32"/>
          <w:u w:val="none"/>
          <w:lang w:val="en-US" w:eastAsia="zh-CN"/>
        </w:rPr>
        <w:t>五是</w:t>
      </w:r>
      <w:r>
        <w:rPr>
          <w:rFonts w:hint="eastAsia" w:ascii="仿宋_GB2312" w:hAnsi="仿宋_GB2312" w:eastAsia="仿宋_GB2312" w:cs="仿宋_GB2312"/>
          <w:color w:val="000000"/>
          <w:sz w:val="32"/>
          <w:szCs w:val="32"/>
          <w:u w:val="none"/>
          <w:lang w:val="en-US" w:eastAsia="zh-CN"/>
        </w:rPr>
        <w:t>保证了本单位安全生产投入的有效实施，编制了安全生产经费年度使用计划表和安全经费收付登记簿。</w:t>
      </w:r>
      <w:r>
        <w:rPr>
          <w:rFonts w:hint="eastAsia" w:ascii="仿宋_GB2312" w:hAnsi="仿宋_GB2312" w:eastAsia="仿宋_GB2312" w:cs="仿宋_GB2312"/>
          <w:b/>
          <w:bCs/>
          <w:color w:val="000000"/>
          <w:sz w:val="32"/>
          <w:szCs w:val="32"/>
          <w:u w:val="none"/>
          <w:lang w:val="en-US" w:eastAsia="zh-CN"/>
        </w:rPr>
        <w:t>六是</w:t>
      </w:r>
      <w:r>
        <w:rPr>
          <w:rFonts w:hint="eastAsia" w:ascii="仿宋_GB2312" w:hAnsi="仿宋_GB2312" w:eastAsia="仿宋_GB2312" w:cs="仿宋_GB2312"/>
          <w:color w:val="000000"/>
          <w:sz w:val="32"/>
          <w:szCs w:val="32"/>
          <w:u w:val="none"/>
          <w:lang w:val="en-US" w:eastAsia="zh-CN"/>
        </w:rPr>
        <w:t>组织建立了安全隐患排查治理制度，编制了道路运输安全隐患排查专项整治行动工作方案，落实了对闽AR61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u w:val="none"/>
          <w:lang w:val="en-US" w:eastAsia="zh-CN"/>
        </w:rPr>
        <w:t>重型半挂牵引车的动态监控、车辆维护等工作，建立动态监控报警处置记录表、安全隐患排查记录簿，保证了车辆符合运行安全技术条件。</w:t>
      </w:r>
      <w:r>
        <w:rPr>
          <w:rFonts w:hint="eastAsia" w:ascii="仿宋_GB2312" w:hAnsi="仿宋_GB2312" w:eastAsia="仿宋_GB2312" w:cs="仿宋_GB2312"/>
          <w:b/>
          <w:bCs/>
          <w:color w:val="000000"/>
          <w:sz w:val="32"/>
          <w:szCs w:val="32"/>
          <w:u w:val="none"/>
          <w:lang w:val="en-US" w:eastAsia="zh-CN"/>
        </w:rPr>
        <w:t>七是</w:t>
      </w:r>
      <w:r>
        <w:rPr>
          <w:rFonts w:hint="eastAsia" w:ascii="仿宋_GB2312" w:hAnsi="仿宋_GB2312" w:eastAsia="仿宋_GB2312" w:cs="仿宋_GB2312"/>
          <w:color w:val="000000"/>
          <w:sz w:val="32"/>
          <w:szCs w:val="32"/>
          <w:u w:val="none"/>
          <w:lang w:val="en-US" w:eastAsia="zh-CN"/>
        </w:rPr>
        <w:t>组织制定了本单位的应急预案并进行演练。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7" w:name="_Toc28837"/>
      <w:r>
        <w:rPr>
          <w:rFonts w:hint="eastAsia" w:ascii="楷体_GB2312" w:hAnsi="楷体_GB2312" w:eastAsia="楷体_GB2312" w:cs="楷体_GB2312"/>
          <w:color w:val="000000"/>
          <w:kern w:val="2"/>
          <w:sz w:val="32"/>
          <w:szCs w:val="32"/>
          <w:lang w:val="en-US" w:eastAsia="zh-CN" w:bidi="ar-SA"/>
        </w:rPr>
        <w:t>（三）</w:t>
      </w:r>
      <w:r>
        <w:rPr>
          <w:rFonts w:hint="eastAsia" w:ascii="楷体_GB2312" w:hAnsi="楷体_GB2312" w:eastAsia="楷体_GB2312" w:cs="楷体_GB2312"/>
          <w:color w:val="000000"/>
          <w:sz w:val="32"/>
          <w:szCs w:val="32"/>
          <w:lang w:val="en-US" w:eastAsia="zh-CN"/>
        </w:rPr>
        <w:t>事故发生经过</w:t>
      </w:r>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2023年5月14日15时，张某某驾驶闽AR61</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号重型半挂牵引车/闽AM4</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挂号重型罐式半挂车载散装水泥从连江县琯头镇冠海码头出发开往东湖镇飞石村龙资搅拌站，15时51分许行经国道104线2291KM+200M连江县凤城镇县标环岛路口时向右打方向，重型半挂牵引车追尾碰撞并碾压右前方由邵某某驾驶的闽A98J</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号普通二轮摩托车，造成邵某某当场死亡及两车不同程度损坏的交通事故。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8" w:name="_Toc17503"/>
      <w:r>
        <w:rPr>
          <w:rFonts w:hint="eastAsia" w:ascii="楷体_GB2312" w:hAnsi="楷体_GB2312" w:eastAsia="楷体_GB2312" w:cs="楷体_GB2312"/>
          <w:color w:val="000000"/>
          <w:sz w:val="32"/>
          <w:szCs w:val="32"/>
          <w:lang w:val="en-US" w:eastAsia="zh-CN"/>
        </w:rPr>
        <w:t>（四）事故现场情况</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现场位于国道104线2291KM+200M连江县凤城镇县标环岛路口，南往连江县琯头镇方向，北往连江县东湖镇方向，东往连江县凤城镇文山路方向，西往连江县树德学校方向；环岛路口处设置有人行横道交通标志、环形路段标志；道路施划分道线、人行横道标线；环岛路口中央设置花圃、绿化岛，完好沥青路面，白天视线正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bookmarkStart w:id="9" w:name="_Toc16093"/>
      <w:r>
        <w:rPr>
          <w:rFonts w:hint="eastAsia" w:ascii="楷体_GB2312" w:hAnsi="楷体_GB2312" w:eastAsia="楷体_GB2312" w:cs="楷体_GB2312"/>
          <w:color w:val="000000"/>
          <w:sz w:val="32"/>
          <w:szCs w:val="32"/>
          <w:lang w:val="en-US" w:eastAsia="zh-CN"/>
        </w:rPr>
        <w:t>（五）人员伤亡和直接经济损失情况</w:t>
      </w:r>
      <w:bookmarkEnd w:id="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本起事故共造成1人死亡，两车不同程度受损，直接经济损失约142万元。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0" w:name="_Toc6419"/>
      <w:r>
        <w:rPr>
          <w:rFonts w:hint="eastAsia" w:ascii="黑体" w:hAnsi="黑体" w:eastAsia="黑体" w:cs="黑体"/>
          <w:color w:val="000000"/>
          <w:kern w:val="2"/>
          <w:sz w:val="32"/>
          <w:szCs w:val="32"/>
          <w:lang w:val="en-US" w:eastAsia="zh-CN" w:bidi="ar-SA"/>
        </w:rPr>
        <w:t>二、</w:t>
      </w:r>
      <w:r>
        <w:rPr>
          <w:rFonts w:hint="eastAsia" w:ascii="黑体" w:hAnsi="黑体" w:eastAsia="黑体" w:cs="黑体"/>
          <w:color w:val="000000"/>
          <w:sz w:val="32"/>
          <w:szCs w:val="32"/>
          <w:lang w:val="en-US" w:eastAsia="zh-CN"/>
        </w:rPr>
        <w:t>事故应急处置及评估情况</w:t>
      </w:r>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000000"/>
          <w:sz w:val="32"/>
          <w:szCs w:val="32"/>
          <w:lang w:val="en-US" w:eastAsia="zh-CN"/>
        </w:rPr>
      </w:pPr>
      <w:bookmarkStart w:id="11" w:name="_Toc27987"/>
      <w:r>
        <w:rPr>
          <w:rFonts w:hint="eastAsia" w:ascii="楷体_GB2312" w:hAnsi="楷体_GB2312" w:eastAsia="楷体_GB2312" w:cs="楷体_GB2312"/>
          <w:color w:val="000000"/>
          <w:sz w:val="32"/>
          <w:szCs w:val="32"/>
          <w:lang w:val="en-US" w:eastAsia="zh-CN"/>
        </w:rPr>
        <w:t>（一）事故信息接报及应急处置情况</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楷体_GB2312" w:hAnsi="楷体_GB2312" w:eastAsia="楷体_GB2312" w:cs="楷体_GB2312"/>
          <w:color w:val="000000"/>
          <w:sz w:val="32"/>
          <w:szCs w:val="32"/>
          <w:u w:val="single"/>
          <w:lang w:val="en-US" w:eastAsia="zh-CN"/>
        </w:rPr>
      </w:pPr>
      <w:r>
        <w:rPr>
          <w:rFonts w:hint="eastAsia" w:ascii="仿宋_GB2312" w:hAnsi="仿宋_GB2312" w:eastAsia="仿宋_GB2312" w:cs="仿宋_GB2312"/>
          <w:color w:val="000000"/>
          <w:sz w:val="32"/>
          <w:szCs w:val="32"/>
          <w:lang w:val="en-US" w:eastAsia="zh-CN"/>
        </w:rPr>
        <w:t>2023年5月14日15时51分许事故发生后，张某某拨打了110、120报警电话。</w:t>
      </w:r>
      <w:r>
        <w:rPr>
          <w:rFonts w:hint="eastAsia" w:ascii="仿宋_GB2312" w:hAnsi="仿宋_GB2312" w:eastAsia="仿宋_GB2312" w:cs="仿宋_GB2312"/>
          <w:color w:val="000000"/>
          <w:sz w:val="32"/>
          <w:szCs w:val="32"/>
          <w:u w:val="none"/>
          <w:lang w:val="en-US" w:eastAsia="zh-CN"/>
        </w:rPr>
        <w:t>接报后，连江县公安局交警大队第一时间赶往事故现场，</w:t>
      </w:r>
      <w:r>
        <w:rPr>
          <w:rFonts w:hint="eastAsia" w:ascii="仿宋_GB2312" w:hAnsi="仿宋_GB2312" w:eastAsia="仿宋_GB2312" w:cs="仿宋_GB2312"/>
          <w:color w:val="000000"/>
          <w:sz w:val="32"/>
          <w:szCs w:val="32"/>
          <w:lang w:val="en-US" w:eastAsia="zh-CN"/>
        </w:rPr>
        <w:t>邵某某</w:t>
      </w:r>
      <w:r>
        <w:rPr>
          <w:rFonts w:hint="eastAsia" w:ascii="仿宋_GB2312" w:hAnsi="仿宋_GB2312" w:eastAsia="仿宋_GB2312" w:cs="仿宋_GB2312"/>
          <w:color w:val="000000"/>
          <w:sz w:val="32"/>
          <w:szCs w:val="32"/>
          <w:u w:val="none"/>
          <w:lang w:val="en-US" w:eastAsia="zh-CN"/>
        </w:rPr>
        <w:t>经医护人员确认已当场死亡，随即保护现场并进行交通疏导及勘查工作，并对驾驶员进行抽血送检，现场扣留车辆。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outlineLvl w:val="1"/>
        <w:rPr>
          <w:rFonts w:hint="eastAsia" w:ascii="楷体_GB2312" w:hAnsi="楷体_GB2312" w:eastAsia="楷体_GB2312" w:cs="楷体_GB2312"/>
          <w:color w:val="000000"/>
          <w:sz w:val="32"/>
          <w:szCs w:val="32"/>
          <w:lang w:val="en-US" w:eastAsia="zh-CN"/>
        </w:rPr>
      </w:pPr>
      <w:bookmarkStart w:id="12" w:name="_Toc18458"/>
      <w:r>
        <w:rPr>
          <w:rFonts w:hint="eastAsia" w:ascii="楷体_GB2312" w:hAnsi="楷体_GB2312" w:eastAsia="楷体_GB2312" w:cs="楷体_GB2312"/>
          <w:color w:val="000000"/>
          <w:sz w:val="32"/>
          <w:szCs w:val="32"/>
          <w:lang w:val="en-US" w:eastAsia="zh-CN"/>
        </w:rPr>
        <w:t>（二）善后情况</w:t>
      </w:r>
      <w:bookmarkEnd w:id="1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事故发生后，</w:t>
      </w:r>
      <w:r>
        <w:rPr>
          <w:rFonts w:hint="default" w:ascii="仿宋_GB2312" w:hAnsi="仿宋_GB2312" w:eastAsia="仿宋_GB2312" w:cs="仿宋_GB2312"/>
          <w:b w:val="0"/>
          <w:bCs w:val="0"/>
          <w:color w:val="000000"/>
          <w:sz w:val="32"/>
          <w:szCs w:val="32"/>
          <w:u w:val="none"/>
          <w:lang w:val="en-US" w:eastAsia="zh-CN"/>
        </w:rPr>
        <w:t>福州金福源物流有限公司</w:t>
      </w:r>
      <w:r>
        <w:rPr>
          <w:rFonts w:hint="default" w:ascii="仿宋_GB2312" w:hAnsi="仿宋_GB2312" w:eastAsia="仿宋_GB2312" w:cs="仿宋_GB2312"/>
          <w:color w:val="000000"/>
          <w:sz w:val="32"/>
          <w:szCs w:val="32"/>
          <w:lang w:val="en-US" w:eastAsia="zh-CN"/>
        </w:rPr>
        <w:t xml:space="preserve">与死者家属达成调解，赔偿总额 </w:t>
      </w:r>
      <w:r>
        <w:rPr>
          <w:rFonts w:hint="eastAsia" w:ascii="仿宋_GB2312" w:hAnsi="仿宋_GB2312" w:eastAsia="仿宋_GB2312" w:cs="仿宋_GB2312"/>
          <w:color w:val="000000"/>
          <w:sz w:val="32"/>
          <w:szCs w:val="32"/>
          <w:lang w:val="en-US" w:eastAsia="zh-CN"/>
        </w:rPr>
        <w:t>142.7098</w:t>
      </w:r>
      <w:r>
        <w:rPr>
          <w:rFonts w:hint="default" w:ascii="仿宋_GB2312" w:hAnsi="仿宋_GB2312" w:eastAsia="仿宋_GB2312" w:cs="仿宋_GB2312"/>
          <w:color w:val="000000"/>
          <w:sz w:val="32"/>
          <w:szCs w:val="32"/>
          <w:lang w:val="en-US" w:eastAsia="zh-CN"/>
        </w:rPr>
        <w:t>万元。</w:t>
      </w:r>
      <w:r>
        <w:rPr>
          <w:rFonts w:hint="eastAsia" w:ascii="仿宋_GB2312" w:hAnsi="仿宋_GB2312" w:eastAsia="仿宋_GB2312" w:cs="仿宋_GB2312"/>
          <w:color w:val="000000"/>
          <w:sz w:val="32"/>
          <w:szCs w:val="32"/>
          <w:lang w:val="en-US" w:eastAsia="zh-CN"/>
        </w:rPr>
        <w:t>除了保险公司按规定理赔的112.7098万元赔偿款外</w:t>
      </w:r>
      <w:r>
        <w:rPr>
          <w:rFonts w:hint="default" w:ascii="仿宋_GB2312" w:hAnsi="仿宋_GB2312" w:eastAsia="仿宋_GB2312" w:cs="仿宋_GB2312"/>
          <w:color w:val="000000"/>
          <w:sz w:val="32"/>
          <w:szCs w:val="32"/>
          <w:lang w:val="en-US" w:eastAsia="zh-CN"/>
        </w:rPr>
        <w:t>，由</w:t>
      </w:r>
      <w:r>
        <w:rPr>
          <w:rFonts w:hint="eastAsia" w:ascii="仿宋_GB2312" w:hAnsi="仿宋_GB2312" w:eastAsia="仿宋_GB2312" w:cs="仿宋_GB2312"/>
          <w:color w:val="000000"/>
          <w:sz w:val="32"/>
          <w:szCs w:val="32"/>
          <w:lang w:val="en-US" w:eastAsia="zh-CN"/>
        </w:rPr>
        <w:t>公司</w:t>
      </w:r>
      <w:r>
        <w:rPr>
          <w:rFonts w:hint="default" w:ascii="仿宋_GB2312" w:hAnsi="仿宋_GB2312" w:eastAsia="仿宋_GB2312" w:cs="仿宋_GB2312"/>
          <w:color w:val="000000"/>
          <w:sz w:val="32"/>
          <w:szCs w:val="32"/>
          <w:lang w:val="en-US" w:eastAsia="zh-CN"/>
        </w:rPr>
        <w:t>赔偿</w:t>
      </w:r>
      <w:r>
        <w:rPr>
          <w:rFonts w:hint="eastAsia" w:ascii="仿宋_GB2312" w:hAnsi="仿宋_GB2312" w:eastAsia="仿宋_GB2312" w:cs="仿宋_GB2312"/>
          <w:color w:val="000000"/>
          <w:sz w:val="32"/>
          <w:szCs w:val="32"/>
          <w:lang w:val="en-US" w:eastAsia="zh-CN"/>
        </w:rPr>
        <w:t>死者家属</w:t>
      </w:r>
      <w:r>
        <w:rPr>
          <w:rFonts w:hint="default" w:ascii="仿宋_GB2312" w:hAnsi="仿宋_GB2312" w:eastAsia="仿宋_GB2312" w:cs="仿宋_GB2312"/>
          <w:color w:val="000000"/>
          <w:sz w:val="32"/>
          <w:szCs w:val="32"/>
          <w:lang w:val="en-US" w:eastAsia="zh-CN"/>
        </w:rPr>
        <w:t>30万元。目前事故善后处置工作已结束。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3" w:name="_Toc28826"/>
      <w:r>
        <w:rPr>
          <w:rFonts w:hint="eastAsia" w:ascii="黑体" w:hAnsi="黑体" w:eastAsia="黑体" w:cs="黑体"/>
          <w:color w:val="000000"/>
          <w:kern w:val="2"/>
          <w:sz w:val="32"/>
          <w:szCs w:val="32"/>
          <w:lang w:val="en-US" w:eastAsia="zh-CN" w:bidi="ar-SA"/>
        </w:rPr>
        <w:t>三、</w:t>
      </w:r>
      <w:r>
        <w:rPr>
          <w:rFonts w:hint="eastAsia" w:ascii="黑体" w:hAnsi="黑体" w:eastAsia="黑体" w:cs="黑体"/>
          <w:color w:val="000000"/>
          <w:sz w:val="32"/>
          <w:szCs w:val="32"/>
          <w:lang w:val="en-US" w:eastAsia="zh-CN"/>
        </w:rPr>
        <w:t>事故原因分析</w:t>
      </w:r>
      <w:bookmarkEnd w:id="1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事故直接原因是：</w:t>
      </w:r>
      <w:r>
        <w:rPr>
          <w:rFonts w:hint="default" w:ascii="仿宋_GB2312" w:hAnsi="仿宋_GB2312" w:eastAsia="仿宋_GB2312" w:cs="仿宋_GB2312"/>
          <w:color w:val="000000"/>
          <w:sz w:val="32"/>
          <w:szCs w:val="32"/>
          <w:lang w:val="en-US" w:eastAsia="zh-CN"/>
        </w:rPr>
        <w:t>闽AR</w:t>
      </w:r>
      <w:r>
        <w:rPr>
          <w:rFonts w:hint="eastAsia" w:ascii="仿宋_GB2312" w:hAnsi="仿宋_GB2312" w:eastAsia="仿宋_GB2312" w:cs="仿宋_GB2312"/>
          <w:color w:val="000000"/>
          <w:sz w:val="32"/>
          <w:szCs w:val="32"/>
          <w:lang w:val="en-US" w:eastAsia="zh-CN"/>
        </w:rPr>
        <w:t>61</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重型半挂牵引车</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闽AM4</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w:t>
      </w:r>
      <w:r>
        <w:rPr>
          <w:rFonts w:hint="eastAsia" w:ascii="仿宋_GB2312" w:hAnsi="仿宋_GB2312" w:eastAsia="仿宋_GB2312" w:cs="仿宋_GB2312"/>
          <w:color w:val="000000"/>
          <w:sz w:val="32"/>
          <w:szCs w:val="32"/>
          <w:lang w:val="en-US" w:eastAsia="zh-CN"/>
        </w:rPr>
        <w:t>号</w:t>
      </w:r>
      <w:r>
        <w:rPr>
          <w:rFonts w:hint="default" w:ascii="仿宋_GB2312" w:hAnsi="仿宋_GB2312" w:eastAsia="仿宋_GB2312" w:cs="仿宋_GB2312"/>
          <w:color w:val="000000"/>
          <w:sz w:val="32"/>
          <w:szCs w:val="32"/>
          <w:lang w:val="en-US" w:eastAsia="zh-CN"/>
        </w:rPr>
        <w:t>重型罐式半挂车</w:t>
      </w:r>
      <w:r>
        <w:rPr>
          <w:rFonts w:hint="eastAsia" w:ascii="仿宋_GB2312" w:hAnsi="仿宋_GB2312" w:eastAsia="仿宋_GB2312" w:cs="仿宋_GB2312"/>
          <w:color w:val="000000"/>
          <w:sz w:val="32"/>
          <w:szCs w:val="32"/>
          <w:lang w:val="en-US" w:eastAsia="zh-CN"/>
        </w:rPr>
        <w:t>驾驶员张某某</w:t>
      </w:r>
      <w:r>
        <w:rPr>
          <w:rFonts w:hint="default" w:ascii="仿宋_GB2312" w:hAnsi="仿宋_GB2312" w:eastAsia="仿宋_GB2312" w:cs="仿宋_GB2312"/>
          <w:color w:val="000000"/>
          <w:sz w:val="32"/>
          <w:szCs w:val="32"/>
          <w:lang w:val="en-US" w:eastAsia="zh-CN"/>
        </w:rPr>
        <w:t>未注意观察路面情况</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遇险情采取措施不及，</w:t>
      </w:r>
      <w:r>
        <w:rPr>
          <w:rFonts w:hint="eastAsia" w:ascii="仿宋_GB2312" w:hAnsi="仿宋_GB2312" w:eastAsia="仿宋_GB2312" w:cs="仿宋_GB2312"/>
          <w:color w:val="000000"/>
          <w:sz w:val="32"/>
          <w:szCs w:val="32"/>
          <w:lang w:val="en-US" w:eastAsia="zh-CN"/>
        </w:rPr>
        <w:t>存在危及行车安全的交通违法行为。根据连江县公安局交通警察大队道路交通事故认定书（第</w:t>
      </w:r>
      <w:r>
        <w:rPr>
          <w:rFonts w:hint="eastAsia" w:ascii="仿宋_GB2312" w:hAnsi="仿宋_GB2312" w:eastAsia="仿宋_GB2312" w:cs="仿宋_GB2312"/>
          <w:color w:val="000000"/>
          <w:sz w:val="32"/>
          <w:szCs w:val="32"/>
          <w:u w:val="none"/>
          <w:lang w:val="en-US" w:eastAsia="zh-CN"/>
        </w:rPr>
        <w:t>35012212023000</w:t>
      </w:r>
      <w:r>
        <w:rPr>
          <w:rFonts w:hint="eastAsia" w:ascii="仿宋" w:hAnsi="仿宋" w:eastAsia="仿宋"/>
          <w:sz w:val="32"/>
          <w:szCs w:val="32"/>
          <w:lang w:val="en-US" w:eastAsia="zh-CN"/>
        </w:rPr>
        <w:t>****</w:t>
      </w:r>
      <w:r>
        <w:rPr>
          <w:rFonts w:hint="eastAsia" w:ascii="仿宋_GB2312" w:hAnsi="仿宋_GB2312" w:eastAsia="仿宋_GB2312" w:cs="仿宋_GB2312"/>
          <w:color w:val="000000"/>
          <w:sz w:val="32"/>
          <w:szCs w:val="32"/>
          <w:lang w:val="en-US" w:eastAsia="zh-CN"/>
        </w:rPr>
        <w:t>号），本起事故中当事人张某某负全部责任，邵某某无责任。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14" w:name="_Toc20045"/>
      <w:r>
        <w:rPr>
          <w:rFonts w:hint="eastAsia" w:ascii="楷体_GB2312" w:hAnsi="楷体_GB2312" w:eastAsia="楷体_GB2312" w:cs="楷体_GB2312"/>
          <w:color w:val="000000"/>
          <w:sz w:val="32"/>
          <w:szCs w:val="32"/>
          <w:lang w:val="en-US" w:eastAsia="zh-CN"/>
        </w:rPr>
        <w:t>（一）直接原因分析</w:t>
      </w:r>
      <w:bookmarkEnd w:id="1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张某某驾驶</w:t>
      </w:r>
      <w:r>
        <w:rPr>
          <w:rFonts w:hint="default" w:ascii="仿宋_GB2312" w:hAnsi="仿宋_GB2312" w:eastAsia="仿宋_GB2312" w:cs="仿宋_GB2312"/>
          <w:color w:val="000000"/>
          <w:sz w:val="32"/>
          <w:szCs w:val="32"/>
          <w:lang w:val="en-US" w:eastAsia="zh-CN"/>
        </w:rPr>
        <w:t>闽AR</w:t>
      </w:r>
      <w:r>
        <w:rPr>
          <w:rFonts w:hint="eastAsia" w:ascii="仿宋_GB2312" w:hAnsi="仿宋_GB2312" w:eastAsia="仿宋_GB2312" w:cs="仿宋_GB2312"/>
          <w:color w:val="000000"/>
          <w:sz w:val="32"/>
          <w:szCs w:val="32"/>
          <w:lang w:val="en-US" w:eastAsia="zh-CN"/>
        </w:rPr>
        <w:t>61</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号重型半挂牵引车</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闽AM4</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挂号重型罐式半挂车行经</w:t>
      </w:r>
      <w:r>
        <w:rPr>
          <w:rFonts w:hint="eastAsia" w:ascii="仿宋_GB2312" w:hAnsi="仿宋_GB2312" w:eastAsia="仿宋_GB2312" w:cs="仿宋_GB2312"/>
          <w:color w:val="000000"/>
          <w:sz w:val="32"/>
          <w:szCs w:val="32"/>
          <w:lang w:val="en-US" w:eastAsia="zh-CN"/>
        </w:rPr>
        <w:t>环岛</w:t>
      </w:r>
      <w:r>
        <w:rPr>
          <w:rFonts w:hint="default" w:ascii="仿宋_GB2312" w:hAnsi="仿宋_GB2312" w:eastAsia="仿宋_GB2312" w:cs="仿宋_GB2312"/>
          <w:color w:val="000000"/>
          <w:sz w:val="32"/>
          <w:szCs w:val="32"/>
          <w:lang w:val="en-US" w:eastAsia="zh-CN"/>
        </w:rPr>
        <w:t>时，未注意观察路面情况，向右打方向，导致重型半挂牵引车追尾碰撞并碾压右前方</w:t>
      </w:r>
      <w:r>
        <w:rPr>
          <w:rFonts w:hint="eastAsia" w:ascii="仿宋_GB2312" w:hAnsi="仿宋_GB2312" w:eastAsia="仿宋_GB2312" w:cs="仿宋_GB2312"/>
          <w:color w:val="000000"/>
          <w:sz w:val="32"/>
          <w:szCs w:val="32"/>
          <w:lang w:val="en-US" w:eastAsia="zh-CN"/>
        </w:rPr>
        <w:t>邵某某驾驶的二轮摩托车</w:t>
      </w:r>
      <w:r>
        <w:rPr>
          <w:rFonts w:hint="default" w:ascii="仿宋_GB2312" w:hAnsi="仿宋_GB2312" w:eastAsia="仿宋_GB2312" w:cs="仿宋_GB2312"/>
          <w:color w:val="000000"/>
          <w:sz w:val="32"/>
          <w:szCs w:val="32"/>
          <w:lang w:val="en-US" w:eastAsia="zh-CN"/>
        </w:rPr>
        <w:t>，遇险情采取措施不及，</w:t>
      </w:r>
      <w:r>
        <w:rPr>
          <w:rFonts w:hint="eastAsia" w:ascii="仿宋_GB2312" w:hAnsi="仿宋_GB2312" w:eastAsia="仿宋_GB2312" w:cs="仿宋_GB2312"/>
          <w:color w:val="000000"/>
          <w:sz w:val="32"/>
          <w:szCs w:val="32"/>
          <w:lang w:val="en-US" w:eastAsia="zh-CN"/>
        </w:rPr>
        <w:t>其行为违反了《中华人民共和国道路交通安全法》第二十二条第一款</w:t>
      </w:r>
      <w:r>
        <w:rPr>
          <w:rFonts w:hint="eastAsia" w:ascii="仿宋_GB2312" w:hAnsi="仿宋_GB2312" w:eastAsia="仿宋_GB2312" w:cs="仿宋_GB2312"/>
          <w:color w:val="000000"/>
          <w:sz w:val="32"/>
          <w:szCs w:val="32"/>
          <w:vertAlign w:val="superscript"/>
          <w:lang w:val="en-US" w:eastAsia="zh-CN"/>
        </w:rPr>
        <w:t>[1]</w:t>
      </w:r>
      <w:r>
        <w:rPr>
          <w:rFonts w:hint="eastAsia" w:ascii="仿宋_GB2312" w:hAnsi="仿宋_GB2312" w:eastAsia="仿宋_GB2312" w:cs="仿宋_GB2312"/>
          <w:color w:val="000000"/>
          <w:sz w:val="32"/>
          <w:szCs w:val="32"/>
          <w:lang w:val="en-US" w:eastAsia="zh-CN"/>
        </w:rPr>
        <w:t>、第四十三条</w:t>
      </w:r>
      <w:r>
        <w:rPr>
          <w:rFonts w:hint="eastAsia" w:ascii="仿宋_GB2312" w:hAnsi="仿宋_GB2312" w:eastAsia="仿宋_GB2312" w:cs="仿宋_GB2312"/>
          <w:color w:val="000000"/>
          <w:sz w:val="32"/>
          <w:szCs w:val="32"/>
          <w:vertAlign w:val="superscript"/>
          <w:lang w:val="en-US" w:eastAsia="zh-CN"/>
        </w:rPr>
        <w:t>[2]</w:t>
      </w:r>
      <w:r>
        <w:rPr>
          <w:rFonts w:hint="eastAsia" w:ascii="仿宋_GB2312" w:hAnsi="仿宋_GB2312" w:eastAsia="仿宋_GB2312" w:cs="仿宋_GB2312"/>
          <w:color w:val="000000"/>
          <w:sz w:val="32"/>
          <w:szCs w:val="32"/>
          <w:lang w:val="en-US" w:eastAsia="zh-CN"/>
        </w:rPr>
        <w:t>的规定，</w:t>
      </w:r>
      <w:r>
        <w:rPr>
          <w:rFonts w:hint="default" w:ascii="仿宋_GB2312" w:hAnsi="仿宋_GB2312" w:eastAsia="仿宋_GB2312" w:cs="仿宋_GB2312"/>
          <w:color w:val="000000"/>
          <w:sz w:val="32"/>
          <w:szCs w:val="32"/>
          <w:lang w:val="en-US" w:eastAsia="zh-CN"/>
        </w:rPr>
        <w:t>是造成本事故发生的根本原因。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default" w:ascii="仿宋_GB2312" w:hAnsi="仿宋_GB2312" w:eastAsia="仿宋_GB2312" w:cs="仿宋_GB2312"/>
          <w:color w:val="000000"/>
          <w:sz w:val="32"/>
          <w:szCs w:val="32"/>
          <w:lang w:val="en-US" w:eastAsia="zh-CN"/>
        </w:rPr>
      </w:pPr>
      <w:bookmarkStart w:id="15" w:name="_Toc27279"/>
      <w:r>
        <w:rPr>
          <w:rFonts w:hint="eastAsia" w:ascii="楷体_GB2312" w:hAnsi="楷体_GB2312" w:eastAsia="楷体_GB2312" w:cs="楷体_GB2312"/>
          <w:color w:val="000000"/>
          <w:sz w:val="32"/>
          <w:szCs w:val="32"/>
          <w:lang w:val="en-US" w:eastAsia="zh-CN"/>
        </w:rPr>
        <w:t>（二）事故车辆技术鉴定情况</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南方司法鉴定中心[2023]痕（C）鉴字第1189号鉴定意见</w:t>
      </w:r>
      <w:r>
        <w:rPr>
          <w:rFonts w:hint="eastAsia" w:ascii="仿宋_GB2312" w:hAnsi="仿宋_GB2312" w:eastAsia="仿宋_GB2312" w:cs="仿宋_GB2312"/>
          <w:color w:val="000000"/>
          <w:sz w:val="32"/>
          <w:szCs w:val="32"/>
          <w:lang w:val="en-US" w:eastAsia="zh-CN"/>
        </w:rPr>
        <w:t>：①</w:t>
      </w:r>
      <w:r>
        <w:rPr>
          <w:rFonts w:hint="default" w:ascii="仿宋_GB2312" w:hAnsi="仿宋_GB2312" w:eastAsia="仿宋_GB2312" w:cs="仿宋_GB2312"/>
          <w:color w:val="000000"/>
          <w:sz w:val="32"/>
          <w:szCs w:val="32"/>
          <w:lang w:val="en-US" w:eastAsia="zh-CN"/>
        </w:rPr>
        <w:t>闽AR</w:t>
      </w:r>
      <w:r>
        <w:rPr>
          <w:rFonts w:hint="eastAsia" w:ascii="仿宋_GB2312" w:hAnsi="仿宋_GB2312" w:eastAsia="仿宋_GB2312" w:cs="仿宋_GB2312"/>
          <w:color w:val="000000"/>
          <w:sz w:val="32"/>
          <w:szCs w:val="32"/>
          <w:lang w:val="en-US" w:eastAsia="zh-CN"/>
        </w:rPr>
        <w:t>61</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重型半挂牵引车后挂闽AM4</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w:t>
      </w:r>
      <w:r>
        <w:rPr>
          <w:rFonts w:hint="eastAsia" w:ascii="仿宋_GB2312" w:hAnsi="仿宋_GB2312" w:eastAsia="仿宋_GB2312" w:cs="仿宋_GB2312"/>
          <w:color w:val="000000"/>
          <w:sz w:val="32"/>
          <w:szCs w:val="32"/>
          <w:lang w:val="en-US" w:eastAsia="zh-CN"/>
        </w:rPr>
        <w:t>号</w:t>
      </w:r>
      <w:r>
        <w:rPr>
          <w:rFonts w:hint="default" w:ascii="仿宋_GB2312" w:hAnsi="仿宋_GB2312" w:eastAsia="仿宋_GB2312" w:cs="仿宋_GB2312"/>
          <w:color w:val="000000"/>
          <w:sz w:val="32"/>
          <w:szCs w:val="32"/>
          <w:lang w:val="en-US" w:eastAsia="zh-CN"/>
        </w:rPr>
        <w:t>重型罐式半挂车的整车照明及信号装置功能均有效，符合所依据标准中的运行安全技术条件。</w:t>
      </w:r>
      <w:r>
        <w:rPr>
          <w:rFonts w:hint="eastAsia" w:ascii="仿宋_GB2312" w:hAnsi="仿宋_GB2312" w:eastAsia="仿宋_GB2312" w:cs="仿宋_GB2312"/>
          <w:color w:val="000000"/>
          <w:sz w:val="32"/>
          <w:szCs w:val="32"/>
          <w:lang w:val="en-US" w:eastAsia="zh-CN"/>
        </w:rPr>
        <w:t>②</w:t>
      </w:r>
      <w:r>
        <w:rPr>
          <w:rFonts w:hint="default" w:ascii="仿宋_GB2312" w:hAnsi="仿宋_GB2312" w:eastAsia="仿宋_GB2312" w:cs="仿宋_GB2312"/>
          <w:color w:val="000000"/>
          <w:sz w:val="32"/>
          <w:szCs w:val="32"/>
          <w:lang w:val="en-US" w:eastAsia="zh-CN"/>
        </w:rPr>
        <w:t>闽AR</w:t>
      </w:r>
      <w:r>
        <w:rPr>
          <w:rFonts w:hint="eastAsia" w:ascii="仿宋_GB2312" w:hAnsi="仿宋_GB2312" w:eastAsia="仿宋_GB2312" w:cs="仿宋_GB2312"/>
          <w:color w:val="000000"/>
          <w:sz w:val="32"/>
          <w:szCs w:val="32"/>
          <w:lang w:val="en-US" w:eastAsia="zh-CN"/>
        </w:rPr>
        <w:t>61</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重型半挂牵引车后挂闽AM4</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挂</w:t>
      </w:r>
      <w:r>
        <w:rPr>
          <w:rFonts w:hint="eastAsia" w:ascii="仿宋_GB2312" w:hAnsi="仿宋_GB2312" w:eastAsia="仿宋_GB2312" w:cs="仿宋_GB2312"/>
          <w:color w:val="000000"/>
          <w:sz w:val="32"/>
          <w:szCs w:val="32"/>
          <w:lang w:val="en-US" w:eastAsia="zh-CN"/>
        </w:rPr>
        <w:t>号</w:t>
      </w:r>
      <w:r>
        <w:rPr>
          <w:rFonts w:hint="default" w:ascii="仿宋_GB2312" w:hAnsi="仿宋_GB2312" w:eastAsia="仿宋_GB2312" w:cs="仿宋_GB2312"/>
          <w:color w:val="000000"/>
          <w:sz w:val="32"/>
          <w:szCs w:val="32"/>
          <w:lang w:val="en-US" w:eastAsia="zh-CN"/>
        </w:rPr>
        <w:t>重型罐式半挂车事故时的转向及制动功能均有效，符合所依据标准中的运行安全技术条件。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南方司法鉴定中心[2023]痕（C）鉴字第1190号鉴定意见</w:t>
      </w:r>
      <w:r>
        <w:rPr>
          <w:rFonts w:hint="eastAsia" w:ascii="仿宋_GB2312" w:hAnsi="仿宋_GB2312" w:eastAsia="仿宋_GB2312" w:cs="仿宋_GB2312"/>
          <w:color w:val="000000"/>
          <w:sz w:val="32"/>
          <w:szCs w:val="32"/>
          <w:lang w:val="en-US" w:eastAsia="zh-CN"/>
        </w:rPr>
        <w:t>：①</w:t>
      </w:r>
      <w:r>
        <w:rPr>
          <w:rFonts w:hint="default" w:ascii="仿宋_GB2312" w:hAnsi="仿宋_GB2312" w:eastAsia="仿宋_GB2312" w:cs="仿宋_GB2312"/>
          <w:color w:val="000000"/>
          <w:sz w:val="32"/>
          <w:szCs w:val="32"/>
          <w:lang w:val="en-US" w:eastAsia="zh-CN"/>
        </w:rPr>
        <w:t>闽A98J</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号两轮普通摩托车转向功能有效，符合运行安全技术条件。</w:t>
      </w:r>
      <w:r>
        <w:rPr>
          <w:rFonts w:hint="eastAsia" w:ascii="仿宋_GB2312" w:hAnsi="仿宋_GB2312" w:eastAsia="仿宋_GB2312" w:cs="仿宋_GB2312"/>
          <w:color w:val="000000"/>
          <w:sz w:val="32"/>
          <w:szCs w:val="32"/>
          <w:lang w:val="en-US" w:eastAsia="zh-CN"/>
        </w:rPr>
        <w:t>②</w:t>
      </w:r>
      <w:r>
        <w:rPr>
          <w:rFonts w:hint="default" w:ascii="仿宋_GB2312" w:hAnsi="仿宋_GB2312" w:eastAsia="仿宋_GB2312" w:cs="仿宋_GB2312"/>
          <w:color w:val="000000"/>
          <w:sz w:val="32"/>
          <w:szCs w:val="32"/>
          <w:lang w:val="en-US" w:eastAsia="zh-CN"/>
        </w:rPr>
        <w:t>闽A98J</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号两轮普通摩托车整车照明及信号装置功能均有效，符合运行安全技术条件。</w:t>
      </w:r>
      <w:r>
        <w:rPr>
          <w:rFonts w:hint="eastAsia" w:ascii="仿宋_GB2312" w:hAnsi="仿宋_GB2312" w:eastAsia="仿宋_GB2312" w:cs="仿宋_GB2312"/>
          <w:color w:val="000000"/>
          <w:sz w:val="32"/>
          <w:szCs w:val="32"/>
          <w:lang w:val="en-US" w:eastAsia="zh-CN"/>
        </w:rPr>
        <w:t>③</w:t>
      </w:r>
      <w:r>
        <w:rPr>
          <w:rFonts w:hint="default" w:ascii="仿宋_GB2312" w:hAnsi="仿宋_GB2312" w:eastAsia="仿宋_GB2312" w:cs="仿宋_GB2312"/>
          <w:color w:val="000000"/>
          <w:sz w:val="32"/>
          <w:szCs w:val="32"/>
          <w:lang w:val="en-US" w:eastAsia="zh-CN"/>
        </w:rPr>
        <w:t>闽A98J</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号两轮普通摩托车行驶制动功能有效，符合运行安全技术条件。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南方司法鉴定中心[2023]车痕鉴字第532号鉴定意见</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闽AR</w:t>
      </w:r>
      <w:r>
        <w:rPr>
          <w:rFonts w:hint="eastAsia" w:ascii="仿宋_GB2312" w:hAnsi="仿宋_GB2312" w:eastAsia="仿宋_GB2312" w:cs="仿宋_GB2312"/>
          <w:color w:val="000000"/>
          <w:sz w:val="32"/>
          <w:szCs w:val="32"/>
          <w:lang w:val="en-US" w:eastAsia="zh-CN"/>
        </w:rPr>
        <w:t>61**</w:t>
      </w:r>
      <w:r>
        <w:rPr>
          <w:rFonts w:hint="default" w:ascii="仿宋_GB2312" w:hAnsi="仿宋_GB2312" w:eastAsia="仿宋_GB2312" w:cs="仿宋_GB2312"/>
          <w:color w:val="000000"/>
          <w:sz w:val="32"/>
          <w:szCs w:val="32"/>
          <w:lang w:val="en-US" w:eastAsia="zh-CN"/>
        </w:rPr>
        <w:t>重型半挂牵引车前面中偏右部位追尾碰撞由</w:t>
      </w:r>
      <w:r>
        <w:rPr>
          <w:rFonts w:hint="eastAsia" w:ascii="仿宋_GB2312" w:hAnsi="仿宋_GB2312" w:eastAsia="仿宋_GB2312" w:cs="仿宋_GB2312"/>
          <w:color w:val="000000"/>
          <w:sz w:val="32"/>
          <w:szCs w:val="32"/>
          <w:lang w:val="en-US" w:eastAsia="zh-CN"/>
        </w:rPr>
        <w:t>邵某某</w:t>
      </w:r>
      <w:r>
        <w:rPr>
          <w:rFonts w:hint="default" w:ascii="仿宋_GB2312" w:hAnsi="仿宋_GB2312" w:eastAsia="仿宋_GB2312" w:cs="仿宋_GB2312"/>
          <w:color w:val="000000"/>
          <w:sz w:val="32"/>
          <w:szCs w:val="32"/>
          <w:lang w:val="en-US" w:eastAsia="zh-CN"/>
        </w:rPr>
        <w:t>驾驶的闽A98J</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号两轮普通摩托车后左部位致摩托车失控并向右倾倒及其驾驶人摔跌倒地</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随后，牵引车三轴右轮胎又碾压过</w:t>
      </w:r>
      <w:r>
        <w:rPr>
          <w:rFonts w:hint="eastAsia" w:ascii="仿宋_GB2312" w:hAnsi="仿宋_GB2312" w:eastAsia="仿宋_GB2312" w:cs="仿宋_GB2312"/>
          <w:color w:val="000000"/>
          <w:sz w:val="32"/>
          <w:szCs w:val="32"/>
          <w:lang w:val="en-US" w:eastAsia="zh-CN"/>
        </w:rPr>
        <w:t>邵某某（</w:t>
      </w:r>
      <w:r>
        <w:rPr>
          <w:rFonts w:hint="default" w:ascii="仿宋_GB2312" w:hAnsi="仿宋_GB2312" w:eastAsia="仿宋_GB2312" w:cs="仿宋_GB2312"/>
          <w:color w:val="000000"/>
          <w:sz w:val="32"/>
          <w:szCs w:val="32"/>
          <w:lang w:val="en-US" w:eastAsia="zh-CN"/>
        </w:rPr>
        <w:t>身份号为411523</w:t>
      </w:r>
      <w:r>
        <w:rPr>
          <w:rFonts w:hint="eastAsia" w:ascii="仿宋" w:hAnsi="仿宋" w:eastAsia="仿宋"/>
          <w:sz w:val="32"/>
          <w:szCs w:val="32"/>
          <w:lang w:val="en-US" w:eastAsia="zh-CN"/>
        </w:rPr>
        <w:t>********</w:t>
      </w:r>
      <w:r>
        <w:rPr>
          <w:rFonts w:hint="default" w:ascii="仿宋_GB2312" w:hAnsi="仿宋_GB2312" w:eastAsia="仿宋_GB2312" w:cs="仿宋_GB2312"/>
          <w:color w:val="000000"/>
          <w:sz w:val="32"/>
          <w:szCs w:val="32"/>
          <w:lang w:val="en-US" w:eastAsia="zh-CN"/>
        </w:rPr>
        <w:t>241X</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身体可以成立。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南方司法鉴定中心[2023]病鉴字第198号《鉴定意见书》鉴定意见:</w:t>
      </w:r>
      <w:r>
        <w:rPr>
          <w:rFonts w:hint="eastAsia" w:ascii="仿宋_GB2312" w:hAnsi="仿宋_GB2312" w:eastAsia="仿宋_GB2312" w:cs="仿宋_GB2312"/>
          <w:color w:val="000000"/>
          <w:sz w:val="32"/>
          <w:szCs w:val="32"/>
          <w:lang w:val="en-US" w:eastAsia="zh-CN"/>
        </w:rPr>
        <w:t>邵某某</w:t>
      </w:r>
      <w:r>
        <w:rPr>
          <w:rFonts w:hint="default" w:ascii="仿宋_GB2312" w:hAnsi="仿宋_GB2312" w:eastAsia="仿宋_GB2312" w:cs="仿宋_GB2312"/>
          <w:color w:val="000000"/>
          <w:sz w:val="32"/>
          <w:szCs w:val="32"/>
          <w:lang w:val="en-US" w:eastAsia="zh-CN"/>
        </w:rPr>
        <w:t>符合因交通事故致颅脑损伤及胸腹腔脏器损伤死亡。</w:t>
      </w:r>
      <w:bookmarkStart w:id="19" w:name="_GoBack"/>
      <w:bookmarkEnd w:id="1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6" w:name="_Toc31459"/>
      <w:r>
        <w:rPr>
          <w:rFonts w:hint="eastAsia" w:ascii="黑体" w:hAnsi="黑体" w:eastAsia="黑体" w:cs="黑体"/>
          <w:color w:val="000000"/>
          <w:sz w:val="32"/>
          <w:szCs w:val="32"/>
          <w:lang w:val="en-US" w:eastAsia="zh-CN"/>
        </w:rPr>
        <w:t>四、对有关责任人员和责任单位的处理建议</w:t>
      </w:r>
      <w:bookmarkEnd w:id="1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lang w:val="en-US" w:eastAsia="zh-CN"/>
        </w:rPr>
      </w:pPr>
      <w:bookmarkStart w:id="17" w:name="_Toc21128"/>
      <w:r>
        <w:rPr>
          <w:rFonts w:hint="eastAsia" w:ascii="楷体_GB2312" w:hAnsi="楷体_GB2312" w:eastAsia="楷体_GB2312" w:cs="楷体_GB2312"/>
          <w:color w:val="000000"/>
          <w:sz w:val="32"/>
          <w:szCs w:val="32"/>
          <w:lang w:val="en-US" w:eastAsia="zh-CN"/>
        </w:rPr>
        <w:t>（一）已被司法机关采取强制措施人员</w:t>
      </w:r>
      <w:bookmarkEnd w:id="1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张某某，男，闽AR61**重型半挂牵引车/闽AM481挂号重型罐式半挂车驾驶员，涉嫌交通肇事罪，于2023年6月12日被连江县公安局刑事拘留。2023年7月10日，</w:t>
      </w:r>
      <w:r>
        <w:rPr>
          <w:rFonts w:hint="default" w:ascii="仿宋_GB2312" w:hAnsi="仿宋_GB2312" w:eastAsia="仿宋_GB2312" w:cs="仿宋_GB2312"/>
          <w:b w:val="0"/>
          <w:bCs w:val="0"/>
          <w:color w:val="000000"/>
          <w:sz w:val="32"/>
          <w:szCs w:val="32"/>
          <w:u w:val="none"/>
          <w:lang w:val="en-US" w:eastAsia="zh-CN"/>
        </w:rPr>
        <w:t>福州金福源物流有限公司</w:t>
      </w:r>
      <w:r>
        <w:rPr>
          <w:rFonts w:hint="eastAsia" w:ascii="仿宋_GB2312" w:hAnsi="仿宋_GB2312" w:eastAsia="仿宋_GB2312" w:cs="仿宋_GB2312"/>
          <w:b w:val="0"/>
          <w:bCs w:val="0"/>
          <w:color w:val="000000"/>
          <w:sz w:val="32"/>
          <w:szCs w:val="32"/>
          <w:u w:val="none"/>
          <w:lang w:val="en-US" w:eastAsia="zh-CN"/>
        </w:rPr>
        <w:t>委托</w:t>
      </w:r>
      <w:r>
        <w:rPr>
          <w:rFonts w:hint="eastAsia" w:ascii="仿宋_GB2312" w:hAnsi="仿宋_GB2312" w:eastAsia="仿宋_GB2312" w:cs="仿宋_GB2312"/>
          <w:color w:val="000000"/>
          <w:sz w:val="32"/>
          <w:szCs w:val="32"/>
          <w:lang w:val="en-US" w:eastAsia="zh-CN"/>
        </w:rPr>
        <w:t>张某某赔偿被害人家属30万元，取得谅解。连江县人民检察院决定对张某某作相对不起诉处理。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（二）建议企业主管部门调查处理的单位</w:t>
      </w:r>
    </w:p>
    <w:p>
      <w:pPr>
        <w:keepNext w:val="0"/>
        <w:keepLines w:val="0"/>
        <w:widowControl/>
        <w:suppressLineNumbers w:val="0"/>
        <w:ind w:firstLine="620" w:firstLineChars="200"/>
        <w:jc w:val="left"/>
        <w:rPr>
          <w:rFonts w:hint="eastAsia" w:ascii="仿宋_GB2312" w:hAnsi="仿宋_GB2312" w:eastAsia="仿宋_GB2312" w:cs="仿宋_GB2312"/>
          <w:color w:val="000000"/>
          <w:sz w:val="32"/>
          <w:szCs w:val="32"/>
          <w:lang w:val="en-US" w:eastAsia="zh-CN"/>
        </w:rPr>
      </w:pPr>
      <w:r>
        <w:rPr>
          <w:rFonts w:ascii="仿宋_GB2312" w:hAnsi="宋体" w:eastAsia="仿宋_GB2312" w:cs="仿宋_GB2312"/>
          <w:color w:val="000000"/>
          <w:kern w:val="0"/>
          <w:sz w:val="31"/>
          <w:szCs w:val="31"/>
          <w:lang w:val="en-US" w:eastAsia="zh-CN" w:bidi="ar"/>
        </w:rPr>
        <w:t>经调查，未发现</w:t>
      </w:r>
      <w:r>
        <w:rPr>
          <w:rFonts w:hint="default" w:ascii="仿宋_GB2312" w:hAnsi="仿宋_GB2312" w:eastAsia="仿宋_GB2312" w:cs="仿宋_GB2312"/>
          <w:color w:val="000000"/>
          <w:sz w:val="32"/>
          <w:szCs w:val="32"/>
          <w:lang w:val="en-US" w:eastAsia="zh-CN"/>
        </w:rPr>
        <w:t>福州金福源物流有限公司</w:t>
      </w:r>
      <w:r>
        <w:rPr>
          <w:rFonts w:ascii="仿宋_GB2312" w:hAnsi="宋体" w:eastAsia="仿宋_GB2312" w:cs="仿宋_GB2312"/>
          <w:color w:val="000000"/>
          <w:kern w:val="0"/>
          <w:sz w:val="31"/>
          <w:szCs w:val="31"/>
          <w:lang w:val="en-US" w:eastAsia="zh-CN" w:bidi="ar"/>
        </w:rPr>
        <w:t>存在</w:t>
      </w:r>
      <w:r>
        <w:rPr>
          <w:rFonts w:hint="eastAsia" w:ascii="仿宋_GB2312" w:hAnsi="宋体" w:eastAsia="仿宋_GB2312" w:cs="仿宋_GB2312"/>
          <w:color w:val="000000"/>
          <w:kern w:val="0"/>
          <w:sz w:val="31"/>
          <w:szCs w:val="31"/>
          <w:lang w:val="en-US" w:eastAsia="zh-CN" w:bidi="ar"/>
        </w:rPr>
        <w:t>与本次事故发生有直接因果关系的违法行为，</w:t>
      </w:r>
      <w:r>
        <w:rPr>
          <w:rFonts w:hint="eastAsia" w:ascii="仿宋_GB2312" w:hAnsi="仿宋_GB2312" w:eastAsia="仿宋_GB2312" w:cs="仿宋_GB2312"/>
          <w:color w:val="000000"/>
          <w:sz w:val="32"/>
          <w:szCs w:val="32"/>
          <w:lang w:val="en-US" w:eastAsia="zh-CN"/>
        </w:rPr>
        <w:t>但该公司建立的安全风险分级管控制度不完善，存在未按照安全风险分级采取相应管控措施的行为，违反了《中华人民共和国安全生产法》第四十一条第一款</w:t>
      </w:r>
      <w:r>
        <w:rPr>
          <w:rFonts w:hint="eastAsia" w:ascii="仿宋_GB2312" w:hAnsi="仿宋_GB2312" w:eastAsia="仿宋_GB2312" w:cs="仿宋_GB2312"/>
          <w:color w:val="000000"/>
          <w:sz w:val="32"/>
          <w:szCs w:val="32"/>
          <w:vertAlign w:val="superscript"/>
          <w:lang w:val="en-US" w:eastAsia="zh-CN"/>
        </w:rPr>
        <w:t>[3]</w:t>
      </w:r>
      <w:r>
        <w:rPr>
          <w:rFonts w:hint="eastAsia" w:ascii="仿宋_GB2312" w:hAnsi="仿宋_GB2312" w:eastAsia="仿宋_GB2312" w:cs="仿宋_GB2312"/>
          <w:color w:val="000000"/>
          <w:sz w:val="32"/>
          <w:szCs w:val="32"/>
          <w:lang w:val="en-US" w:eastAsia="zh-CN"/>
        </w:rPr>
        <w:t>的规定，建议由连江县交通运输局按相关规定处理。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000000"/>
          <w:sz w:val="32"/>
          <w:szCs w:val="32"/>
          <w:lang w:val="en-US" w:eastAsia="zh-CN"/>
        </w:rPr>
      </w:pPr>
      <w:bookmarkStart w:id="18" w:name="_Toc20576"/>
      <w:r>
        <w:rPr>
          <w:rFonts w:hint="eastAsia" w:ascii="黑体" w:hAnsi="黑体" w:eastAsia="黑体" w:cs="黑体"/>
          <w:color w:val="000000"/>
          <w:sz w:val="32"/>
          <w:szCs w:val="32"/>
          <w:lang w:val="en-US" w:eastAsia="zh-CN"/>
        </w:rPr>
        <w:t>五、事故整改和防范措施建议</w:t>
      </w:r>
      <w:bookmarkEnd w:id="1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为认真吸取教训，举一反三，采取措施，加强道路交通安全管理工作，防止同类事故的重复发生。事故调查组结合本次事故暴露出来的问题，提出事故防范措施建议如下：</w:t>
      </w:r>
    </w:p>
    <w:p>
      <w:pPr>
        <w:keepNext w:val="0"/>
        <w:keepLines w:val="0"/>
        <w:pageBreakBefore w:val="0"/>
        <w:widowControl w:val="0"/>
        <w:numPr>
          <w:ilvl w:val="0"/>
          <w:numId w:val="0"/>
        </w:numPr>
        <w:kinsoku/>
        <w:wordWrap/>
        <w:overflowPunct/>
        <w:topLinePunct w:val="0"/>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default" w:ascii="仿宋_GB2312" w:hAnsi="仿宋_GB2312" w:eastAsia="仿宋_GB2312" w:cs="仿宋_GB2312"/>
          <w:color w:val="000000"/>
          <w:sz w:val="32"/>
          <w:szCs w:val="32"/>
          <w:lang w:val="en-US" w:eastAsia="zh-CN"/>
        </w:rPr>
        <w:t>福州金福源物流有限公司</w:t>
      </w:r>
      <w:r>
        <w:rPr>
          <w:rFonts w:hint="eastAsia" w:ascii="仿宋_GB2312" w:hAnsi="仿宋_GB2312" w:eastAsia="仿宋_GB2312" w:cs="仿宋_GB2312"/>
          <w:color w:val="auto"/>
          <w:sz w:val="32"/>
          <w:szCs w:val="32"/>
          <w:lang w:val="en-US" w:eastAsia="zh-CN"/>
        </w:rPr>
        <w:t>应立即转变安</w:t>
      </w:r>
      <w:r>
        <w:rPr>
          <w:rFonts w:hint="eastAsia" w:ascii="仿宋_GB2312" w:hAnsi="仿宋_GB2312" w:eastAsia="仿宋_GB2312" w:cs="仿宋_GB2312"/>
          <w:color w:val="000000"/>
          <w:sz w:val="32"/>
          <w:szCs w:val="32"/>
          <w:lang w:val="en-US" w:eastAsia="zh-CN"/>
        </w:rPr>
        <w:t>全生产管理理念，严格落实安全生产主体责任，建立完善的安全风险分级管控制度并采取相应的管控措施；认真吸取事故教训，</w:t>
      </w:r>
      <w:r>
        <w:rPr>
          <w:rFonts w:hint="eastAsia" w:ascii="仿宋_GB2312" w:hAnsi="仿宋_GB2312" w:eastAsia="仿宋_GB2312" w:cs="仿宋_GB2312"/>
          <w:color w:val="000000"/>
          <w:sz w:val="32"/>
          <w:szCs w:val="32"/>
          <w:u w:val="none"/>
          <w:lang w:val="en-US" w:eastAsia="zh-CN"/>
        </w:rPr>
        <w:t>制定问题整改计划和措施，</w:t>
      </w:r>
      <w:r>
        <w:rPr>
          <w:rFonts w:hint="eastAsia" w:ascii="仿宋_GB2312" w:hAnsi="仿宋_GB2312" w:eastAsia="仿宋_GB2312" w:cs="仿宋_GB2312"/>
          <w:color w:val="000000"/>
          <w:sz w:val="32"/>
          <w:szCs w:val="32"/>
          <w:lang w:val="en-US" w:eastAsia="zh-CN"/>
        </w:rPr>
        <w:t>举一反三，引以为戒，防止类似事故再次发生。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连江县交通运输局要按照“党政同责、一岗双责”和“管行业必须管安全、管业务必须管安全、管生产经营必须管安全”的要求，加大行业管理力度，督促在本地注册、许可的企业严格落实安全生产主体责任，加大对企业经营的监管力度。督促事故企业问题整改计划和措施的落实，及时通报连江县凤城镇县标环岛路段“5·14”一般道路交通生产安全事故教训，举一反三，堵塞各种安全漏洞，防止类似事故发生。</w:t>
      </w:r>
    </w:p>
    <w:p>
      <w:pPr>
        <w:keepNext w:val="0"/>
        <w:keepLines w:val="0"/>
        <w:pageBreakBefore w:val="0"/>
        <w:widowControl w:val="0"/>
        <w:kinsoku/>
        <w:wordWrap/>
        <w:overflowPunct/>
        <w:topLinePunct w:val="0"/>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3.福州市连江公路事业发展中心要按照职责分工科学规范设置道路安全设施、环岛路段交通标志标线，加强公路日常养护作业，加强路面和沿线设施的巡查、检查和维护，确保道路安全。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4.连江县公安局交警大队要按照职责分工加强对事故多发路段主要路口，特别是环岛路段、城区路段的交通巡逻管控，组织事故多发路段的隐患排查，及时提出整改建议。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凤城镇人民政府要按照“党政同责、一岗双责”和“属地管理与分级管理相结合，以属地管理为主”的要求，落实属地管理责任，对本辖区定期组织道路交通安全专项整治和隐患排查治理，及时消除安全隐患，防范事故发生，有效保障人民生命财产安全、生活安全及交通的正常、有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lang w:val="en-US" w:eastAsia="zh-CN"/>
        </w:rPr>
      </w:pPr>
    </w:p>
    <w:p>
      <w:pPr>
        <w:numPr>
          <w:ilvl w:val="0"/>
          <w:numId w:val="1"/>
        </w:num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《中华人民共和国道路交通安全法实施条例》第二十二条第一款  机动车驾驶人应当遵守道路交通安全法律、法规的规定，按照操作规范安全驾驶、文明驾驶。</w:t>
      </w:r>
    </w:p>
    <w:p>
      <w:pPr>
        <w:numPr>
          <w:ilvl w:val="0"/>
          <w:numId w:val="1"/>
        </w:num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《中华人民共和国道路交通安全法实施条例》第四十三条  同车道行驶的机动车，后车应当与前车保持足以采取紧急制动措施的安全距离。</w:t>
      </w:r>
    </w:p>
    <w:p>
      <w:pPr>
        <w:numPr>
          <w:ilvl w:val="0"/>
          <w:numId w:val="1"/>
        </w:num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《中华人民共和国安全生产法》第四十一条第一款：生产经营单位应当建立安全风险分级管控制度，按照安全风险分级采取相应的管控措施。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连江县凤城镇县标环岛路段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“5·14”道路交通事故调查组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2024年6月6日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9247E0-3F22-48AF-85DF-248BFD6E36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24A670D9-2B53-467D-9B01-84D983BCC740}"/>
  </w:font>
  <w:font w:name="仿宋_GB2312">
    <w:panose1 w:val="02010609030101010101"/>
    <w:charset w:val="86"/>
    <w:family w:val="modern"/>
    <w:pitch w:val="default"/>
    <w:sig w:usb0="00000001" w:usb1="080E0000" w:usb2="00000000" w:usb3="00000000" w:csb0="00040000" w:csb1="00000000"/>
    <w:embedRegular r:id="rId3" w:fontKey="{784E42AD-8BAC-4CAD-93A0-4EB22E02826A}"/>
  </w:font>
  <w:font w:name="楷体_GB2312">
    <w:panose1 w:val="02010609030101010101"/>
    <w:charset w:val="86"/>
    <w:family w:val="modern"/>
    <w:pitch w:val="default"/>
    <w:sig w:usb0="00000001" w:usb1="080E0000" w:usb2="00000000" w:usb3="00000000" w:csb0="00040000" w:csb1="00000000"/>
    <w:embedRegular r:id="rId4" w:fontKey="{46C2D891-D0AF-410F-B2B3-91B91D676C4C}"/>
  </w:font>
  <w:font w:name="仿宋">
    <w:panose1 w:val="02010609060101010101"/>
    <w:charset w:val="86"/>
    <w:family w:val="modern"/>
    <w:pitch w:val="default"/>
    <w:sig w:usb0="800002BF" w:usb1="38CF7CFA" w:usb2="00000016" w:usb3="00000000" w:csb0="00040001" w:csb1="00000000"/>
    <w:embedRegular r:id="rId5" w:fontKey="{DF9921C9-BB0B-4C7E-B5D1-AD4B110E7D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A00F0B"/>
    <w:multiLevelType w:val="singleLevel"/>
    <w:tmpl w:val="8EA00F0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xZmIwYTMwMTg3M2EzZGNkMmIwNzA2YjgwZDFiODMifQ=="/>
  </w:docVars>
  <w:rsids>
    <w:rsidRoot w:val="5C1567F1"/>
    <w:rsid w:val="003F70AB"/>
    <w:rsid w:val="019A210C"/>
    <w:rsid w:val="034B430F"/>
    <w:rsid w:val="0377570C"/>
    <w:rsid w:val="0431264F"/>
    <w:rsid w:val="05B65F0A"/>
    <w:rsid w:val="099737F2"/>
    <w:rsid w:val="099D37D7"/>
    <w:rsid w:val="0A3652C5"/>
    <w:rsid w:val="0FC628A0"/>
    <w:rsid w:val="10C8607A"/>
    <w:rsid w:val="12A3059B"/>
    <w:rsid w:val="12A54BBF"/>
    <w:rsid w:val="12D43D6B"/>
    <w:rsid w:val="12EE6B8A"/>
    <w:rsid w:val="138A103E"/>
    <w:rsid w:val="1392325D"/>
    <w:rsid w:val="15245D38"/>
    <w:rsid w:val="167A18C1"/>
    <w:rsid w:val="17096078"/>
    <w:rsid w:val="172A66AC"/>
    <w:rsid w:val="178577B5"/>
    <w:rsid w:val="182D21C1"/>
    <w:rsid w:val="1A2467ED"/>
    <w:rsid w:val="1A87584B"/>
    <w:rsid w:val="1D7934EA"/>
    <w:rsid w:val="1E5B3387"/>
    <w:rsid w:val="1EB636DE"/>
    <w:rsid w:val="21FD3028"/>
    <w:rsid w:val="21FF6B05"/>
    <w:rsid w:val="23D5658E"/>
    <w:rsid w:val="240C14FE"/>
    <w:rsid w:val="24AC7744"/>
    <w:rsid w:val="253E4284"/>
    <w:rsid w:val="2874680A"/>
    <w:rsid w:val="28990C87"/>
    <w:rsid w:val="291C2401"/>
    <w:rsid w:val="29BF5862"/>
    <w:rsid w:val="2AE46958"/>
    <w:rsid w:val="2B4E55E4"/>
    <w:rsid w:val="2BCC76FF"/>
    <w:rsid w:val="2D24083E"/>
    <w:rsid w:val="2F645371"/>
    <w:rsid w:val="319A1F03"/>
    <w:rsid w:val="32835811"/>
    <w:rsid w:val="33783E17"/>
    <w:rsid w:val="34670FD0"/>
    <w:rsid w:val="353E4E8E"/>
    <w:rsid w:val="354F2C84"/>
    <w:rsid w:val="367A7BCA"/>
    <w:rsid w:val="374C074D"/>
    <w:rsid w:val="37DB37A7"/>
    <w:rsid w:val="38563836"/>
    <w:rsid w:val="38FE1CBB"/>
    <w:rsid w:val="39870776"/>
    <w:rsid w:val="39BA7831"/>
    <w:rsid w:val="3BA50B11"/>
    <w:rsid w:val="3DC903E2"/>
    <w:rsid w:val="3E820819"/>
    <w:rsid w:val="3EE2425B"/>
    <w:rsid w:val="3F67559F"/>
    <w:rsid w:val="40364058"/>
    <w:rsid w:val="416B1814"/>
    <w:rsid w:val="417F0FDE"/>
    <w:rsid w:val="42656518"/>
    <w:rsid w:val="43DE5C38"/>
    <w:rsid w:val="43EA7528"/>
    <w:rsid w:val="448434D9"/>
    <w:rsid w:val="46805848"/>
    <w:rsid w:val="47443C26"/>
    <w:rsid w:val="47CC7368"/>
    <w:rsid w:val="48266114"/>
    <w:rsid w:val="486674D3"/>
    <w:rsid w:val="49D56448"/>
    <w:rsid w:val="4A0F09E9"/>
    <w:rsid w:val="4ABF496F"/>
    <w:rsid w:val="4B21490E"/>
    <w:rsid w:val="4EA12804"/>
    <w:rsid w:val="4F616CFF"/>
    <w:rsid w:val="4F9C1409"/>
    <w:rsid w:val="4FDD1C41"/>
    <w:rsid w:val="4FE2629B"/>
    <w:rsid w:val="4FF67EA1"/>
    <w:rsid w:val="501E7A15"/>
    <w:rsid w:val="506B0F50"/>
    <w:rsid w:val="507C59AC"/>
    <w:rsid w:val="52F26C92"/>
    <w:rsid w:val="5350123C"/>
    <w:rsid w:val="54AD5C6C"/>
    <w:rsid w:val="54B576DE"/>
    <w:rsid w:val="55773B8C"/>
    <w:rsid w:val="55815110"/>
    <w:rsid w:val="559611EC"/>
    <w:rsid w:val="56A00E34"/>
    <w:rsid w:val="59CF4D9E"/>
    <w:rsid w:val="5AC62C8A"/>
    <w:rsid w:val="5B0C25B3"/>
    <w:rsid w:val="5B6E67EA"/>
    <w:rsid w:val="5C1567F1"/>
    <w:rsid w:val="5D8F563D"/>
    <w:rsid w:val="5E4F3FA4"/>
    <w:rsid w:val="5EBE5EB2"/>
    <w:rsid w:val="5F3E0472"/>
    <w:rsid w:val="60636C2F"/>
    <w:rsid w:val="60667E43"/>
    <w:rsid w:val="60D67347"/>
    <w:rsid w:val="60E60836"/>
    <w:rsid w:val="62AD44C3"/>
    <w:rsid w:val="62BC0AAA"/>
    <w:rsid w:val="63340B4D"/>
    <w:rsid w:val="64D86C6A"/>
    <w:rsid w:val="65F32AD2"/>
    <w:rsid w:val="66005E78"/>
    <w:rsid w:val="66035AC4"/>
    <w:rsid w:val="67DB50B6"/>
    <w:rsid w:val="694C7ED2"/>
    <w:rsid w:val="696E7976"/>
    <w:rsid w:val="6A3F387A"/>
    <w:rsid w:val="6AA569D0"/>
    <w:rsid w:val="6B2B4FBA"/>
    <w:rsid w:val="6B826114"/>
    <w:rsid w:val="6BD149A6"/>
    <w:rsid w:val="6C0360D5"/>
    <w:rsid w:val="6C1A78E6"/>
    <w:rsid w:val="6CCB6E90"/>
    <w:rsid w:val="6CDD536D"/>
    <w:rsid w:val="6D152C49"/>
    <w:rsid w:val="6EA81BCA"/>
    <w:rsid w:val="710024AA"/>
    <w:rsid w:val="71817B64"/>
    <w:rsid w:val="72DB100C"/>
    <w:rsid w:val="736374E0"/>
    <w:rsid w:val="73AB5C61"/>
    <w:rsid w:val="73C678C5"/>
    <w:rsid w:val="73ED2A40"/>
    <w:rsid w:val="74C66767"/>
    <w:rsid w:val="74E27999"/>
    <w:rsid w:val="75674082"/>
    <w:rsid w:val="758C1FF9"/>
    <w:rsid w:val="758D51FF"/>
    <w:rsid w:val="766E686F"/>
    <w:rsid w:val="76FE3DD3"/>
    <w:rsid w:val="77326FBD"/>
    <w:rsid w:val="77395765"/>
    <w:rsid w:val="778C5344"/>
    <w:rsid w:val="78715547"/>
    <w:rsid w:val="79FE214A"/>
    <w:rsid w:val="7A0803A7"/>
    <w:rsid w:val="7B731ECB"/>
    <w:rsid w:val="7C9E2682"/>
    <w:rsid w:val="7FA17625"/>
    <w:rsid w:val="7FD4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toc 3"/>
    <w:basedOn w:val="1"/>
    <w:next w:val="1"/>
    <w:autoRedefine/>
    <w:qFormat/>
    <w:uiPriority w:val="0"/>
    <w:pPr>
      <w:ind w:left="840" w:leftChars="400"/>
    </w:p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page number"/>
    <w:basedOn w:val="10"/>
    <w:autoRedefine/>
    <w:qFormat/>
    <w:uiPriority w:val="0"/>
  </w:style>
  <w:style w:type="paragraph" w:customStyle="1" w:styleId="12">
    <w:name w:val="0"/>
    <w:basedOn w:val="1"/>
    <w:autoRedefine/>
    <w:qFormat/>
    <w:uiPriority w:val="0"/>
    <w:pPr>
      <w:widowControl/>
      <w:snapToGrid w:val="0"/>
      <w:spacing w:line="365" w:lineRule="atLeast"/>
      <w:ind w:left="1"/>
    </w:pPr>
    <w:rPr>
      <w:kern w:val="0"/>
      <w:sz w:val="20"/>
      <w:szCs w:val="20"/>
    </w:rPr>
  </w:style>
  <w:style w:type="paragraph" w:customStyle="1" w:styleId="13">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4461</Words>
  <Characters>5067</Characters>
  <Lines>0</Lines>
  <Paragraphs>0</Paragraphs>
  <TotalTime>1</TotalTime>
  <ScaleCrop>false</ScaleCrop>
  <LinksUpToDate>false</LinksUpToDate>
  <CharactersWithSpaces>5140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2021-03-17T01:12:00Z</dcterms:created>
  <dc:creator>甜心</dc:creator>
  <cp:lastModifiedBy>甜心</cp:lastModifiedBy>
  <cp:lastPrinted>2024-06-07T01:23:00Z</cp:lastPrinted>
  <dcterms:modified xsi:type="dcterms:W3CDTF">2024-06-17T02:57:51Z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097165604CAA40DE9522CFEBD1057202_13</vt:lpwstr>
  </property>
</Properties>
</file>