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连江县凤城</w:t>
      </w:r>
      <w:r>
        <w:rPr>
          <w:rFonts w:hint="eastAsia" w:ascii="方正小标宋简体" w:hAnsi="方正小标宋简体" w:eastAsia="方正小标宋简体" w:cs="方正小标宋简体"/>
          <w:b w:val="0"/>
          <w:bCs w:val="0"/>
          <w:color w:val="000000"/>
          <w:sz w:val="44"/>
          <w:szCs w:val="44"/>
          <w:lang w:val="en-US" w:eastAsia="zh-CN"/>
        </w:rPr>
        <w:t>镇</w:t>
      </w:r>
      <w:r>
        <w:rPr>
          <w:rFonts w:hint="eastAsia" w:ascii="方正小标宋简体" w:hAnsi="方正小标宋简体" w:eastAsia="方正小标宋简体" w:cs="方正小标宋简体"/>
          <w:color w:val="000000"/>
          <w:sz w:val="44"/>
          <w:szCs w:val="44"/>
          <w:lang w:val="en-US" w:eastAsia="zh-CN"/>
        </w:rPr>
        <w:t>104国道与莲荷路交叉路口“5·20”道路交通事故调查报告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000000"/>
          <w:sz w:val="32"/>
          <w:szCs w:val="32"/>
          <w:lang w:val="en-US" w:eastAsia="zh-CN"/>
        </w:rPr>
      </w:pPr>
      <w:bookmarkStart w:id="0" w:name="_Toc32450"/>
      <w:bookmarkStart w:id="1" w:name="_Toc22065"/>
      <w:r>
        <w:rPr>
          <w:rFonts w:hint="eastAsia" w:ascii="仿宋_GB2312" w:hAnsi="仿宋_GB2312" w:eastAsia="仿宋_GB2312" w:cs="仿宋_GB2312"/>
          <w:color w:val="000000"/>
          <w:sz w:val="32"/>
          <w:szCs w:val="32"/>
          <w:lang w:val="en-US" w:eastAsia="zh-CN"/>
        </w:rPr>
        <w:t>连江县政府事故调查组</w:t>
      </w:r>
      <w:bookmarkEnd w:id="0"/>
      <w:bookmarkEnd w:id="1"/>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2024年6月6日</w:t>
      </w:r>
    </w:p>
    <w:p>
      <w:pPr>
        <w:keepNext w:val="0"/>
        <w:keepLines w:val="0"/>
        <w:pageBreakBefore w:val="0"/>
        <w:widowControl w:val="0"/>
        <w:kinsoku/>
        <w:wordWrap/>
        <w:overflowPunct/>
        <w:topLinePunct w:val="0"/>
        <w:autoSpaceDN/>
        <w:bidi w:val="0"/>
        <w:adjustRightInd/>
        <w:snapToGrid/>
        <w:spacing w:line="500" w:lineRule="exact"/>
        <w:jc w:val="center"/>
        <w:textAlignment w:val="auto"/>
        <w:rPr>
          <w:rFonts w:hint="eastAsia" w:ascii="仿宋_GB2312" w:hAnsi="仿宋_GB2312" w:eastAsia="仿宋_GB2312" w:cs="仿宋_GB2312"/>
          <w:color w:val="000000"/>
          <w:sz w:val="32"/>
          <w:szCs w:val="32"/>
          <w:lang w:val="en-US" w:eastAsia="zh-CN"/>
        </w:rPr>
        <w:sectPr>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imes New Roman"/>
          <w:kern w:val="2"/>
          <w:sz w:val="21"/>
          <w:szCs w:val="21"/>
          <w:lang w:val="en-US" w:eastAsia="zh-CN" w:bidi="ar-SA"/>
        </w:rPr>
        <w:id w:val="147467110"/>
        <w15:color w:val="DBDBDB"/>
        <w:docPartObj>
          <w:docPartGallery w:val="Table of Contents"/>
          <w:docPartUnique/>
        </w:docPartObj>
      </w:sdtPr>
      <w:sdtEndPr>
        <w:rPr>
          <w:rFonts w:ascii="宋体" w:hAnsi="宋体" w:eastAsia="宋体" w:cs="Times New Roman"/>
          <w:kern w:val="2"/>
          <w:sz w:val="21"/>
          <w:szCs w:val="21"/>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7"/>
            <w:tabs>
              <w:tab w:val="right" w:leader="dot" w:pos="8306"/>
            </w:tabs>
          </w:pPr>
          <w:r>
            <w:fldChar w:fldCharType="begin"/>
          </w:r>
          <w:r>
            <w:instrText xml:space="preserve">TOC \o "1-3" \h \u </w:instrText>
          </w:r>
          <w:r>
            <w:fldChar w:fldCharType="separate"/>
          </w:r>
        </w:p>
        <w:p>
          <w:pPr>
            <w:pStyle w:val="6"/>
            <w:tabs>
              <w:tab w:val="right" w:leader="dot" w:pos="8306"/>
            </w:tabs>
            <w:rPr>
              <w:rFonts w:hint="eastAsia" w:ascii="仿宋_GB2312" w:hAnsi="仿宋_GB2312" w:eastAsia="仿宋_GB2312" w:cs="仿宋_GB2312"/>
              <w:sz w:val="32"/>
              <w:szCs w:val="32"/>
            </w:rPr>
          </w:pPr>
          <w:r>
            <w:fldChar w:fldCharType="begin"/>
          </w:r>
          <w:r>
            <w:instrText xml:space="preserve"> HYPERLINK \l _Toc32517 </w:instrText>
          </w:r>
          <w: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_Toc19813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事故基本情况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（一）事故单位、车辆及相关人员概况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p>
        <w:p>
          <w:pPr>
            <w:pStyle w:val="3"/>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_Toc11207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lang w:val="en-US" w:eastAsia="zh-CN"/>
            </w:rPr>
            <w:t>1.事故单位概况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p>
        <w:p>
          <w:pPr>
            <w:pStyle w:val="3"/>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_Toc8623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lang w:val="en-US" w:eastAsia="zh-CN"/>
            </w:rPr>
            <w:t>2.事故车辆情况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p>
        <w:p>
          <w:pPr>
            <w:pStyle w:val="3"/>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lang w:val="en-US" w:eastAsia="zh-CN"/>
            </w:rPr>
            <w:t>3.事故相关人员情况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lang w:val="en-US" w:eastAsia="zh-CN"/>
            </w:rPr>
            <w:t>事故单位安全管理情况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（三）</w:t>
          </w:r>
          <w:r>
            <w:rPr>
              <w:rFonts w:hint="eastAsia" w:ascii="仿宋_GB2312" w:hAnsi="仿宋_GB2312" w:eastAsia="仿宋_GB2312" w:cs="仿宋_GB2312"/>
              <w:sz w:val="32"/>
              <w:szCs w:val="32"/>
              <w:lang w:val="en-US" w:eastAsia="zh-CN"/>
            </w:rPr>
            <w:t>事故发生经过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_Toc17503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（四）事故现场情况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_Toc16093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（五）人员伤亡和直接经济损失情况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pPr>
            <w:pStyle w:val="6"/>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_Toc6419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lang w:val="en-US" w:eastAsia="zh-CN"/>
            </w:rPr>
            <w:t>事故应急处置及评估情况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_Toc27987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（一）事故信息接报及应急处置情况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（二）善后情况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pPr>
            <w:pStyle w:val="6"/>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三、</w:t>
          </w:r>
          <w:r>
            <w:rPr>
              <w:rFonts w:hint="eastAsia" w:ascii="仿宋_GB2312" w:hAnsi="仿宋_GB2312" w:eastAsia="仿宋_GB2312" w:cs="仿宋_GB2312"/>
              <w:sz w:val="32"/>
              <w:szCs w:val="32"/>
              <w:lang w:val="en-US" w:eastAsia="zh-CN"/>
            </w:rPr>
            <w:t>事故原因分析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_Toc20045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（一）直接原因分析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_Toc27279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（二）事故车辆技术鉴定情况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fldChar w:fldCharType="end"/>
          </w:r>
        </w:p>
        <w:p>
          <w:pPr>
            <w:pStyle w:val="6"/>
            <w:tabs>
              <w:tab w:val="right" w:leader="dot" w:pos="830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_Toc31459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四、对有关责任人员和单位的处理建议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8</w:t>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_Toc21128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（一）对有关责任人员的处理建议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_Toc17624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（二）对有关单位的处理建议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p>
        <w:p>
          <w:pPr>
            <w:pStyle w:val="6"/>
            <w:tabs>
              <w:tab w:val="right" w:leader="dot" w:pos="8306"/>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_Toc20576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六、事故整改和防范措施建议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r>
            <w:tab/>
          </w:r>
          <w:r>
            <w:fldChar w:fldCharType="end"/>
          </w:r>
        </w:p>
        <w:p>
          <w:pPr>
            <w:pStyle w:val="7"/>
            <w:tabs>
              <w:tab w:val="right" w:leader="dot" w:pos="8306"/>
            </w:tabs>
          </w:pPr>
        </w:p>
        <w:p>
          <w:pPr>
            <w:pStyle w:val="6"/>
            <w:tabs>
              <w:tab w:val="right" w:leader="dot" w:pos="8306"/>
            </w:tabs>
          </w:pPr>
        </w:p>
        <w:p>
          <w:r>
            <w:fldChar w:fldCharType="end"/>
          </w:r>
        </w:p>
      </w:sdtContent>
    </w:sdt>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br w:type="textWrapping"/>
      </w:r>
      <w:r>
        <w:rPr>
          <w:rFonts w:hint="eastAsia" w:ascii="仿宋_GB2312" w:hAnsi="仿宋_GB2312" w:eastAsia="仿宋_GB2312" w:cs="仿宋_GB2312"/>
          <w:color w:val="000000"/>
          <w:sz w:val="32"/>
          <w:szCs w:val="32"/>
          <w:lang w:val="en-US" w:eastAsia="zh-CN"/>
        </w:rPr>
        <w:br w:type="textWrapping"/>
      </w:r>
      <w:r>
        <w:rPr>
          <w:rFonts w:hint="eastAsia" w:ascii="仿宋_GB2312" w:hAnsi="仿宋_GB2312" w:eastAsia="仿宋_GB2312" w:cs="仿宋_GB2312"/>
          <w:color w:val="000000"/>
          <w:sz w:val="32"/>
          <w:szCs w:val="32"/>
          <w:lang w:val="en-US" w:eastAsia="zh-CN"/>
        </w:rPr>
        <w:t xml:space="preserve">    2023年5月20日19时04分许，国道104线2291KM+900M与连江县凤城镇莲荷路交叉路口发生一起重型半挂牵引车后挂重型仓栅式半挂车与两轮自行车碰撞，造成1人死亡的一般道路交通事故。</w:t>
      </w:r>
      <w:r>
        <w:rPr>
          <w:rFonts w:hint="eastAsia" w:ascii="仿宋_GB2312" w:hAnsi="仿宋_GB2312" w:eastAsia="仿宋_GB2312" w:cs="仿宋_GB2312"/>
          <w:color w:val="000000"/>
          <w:sz w:val="32"/>
          <w:szCs w:val="32"/>
        </w:rPr>
        <w:t>根据《安全生产法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生产安全事故报告和调查处理条例》（国务院493号令）和福建省人民政府安委会办公室关于印发《防范道路运输车辆事故安全风险十项措施的通知》（闽安委办〔2022〕73号）的有关规定，县政府成立了连江县凤城镇104国道与莲荷路交叉路口“5·20”道路交通事故调查组</w:t>
      </w:r>
      <w:r>
        <w:rPr>
          <w:rFonts w:hint="eastAsia" w:ascii="仿宋_GB2312" w:hAnsi="仿宋_GB2312" w:eastAsia="仿宋_GB2312" w:cs="仿宋_GB2312"/>
          <w:color w:val="000000"/>
          <w:sz w:val="32"/>
          <w:szCs w:val="32"/>
          <w:lang w:eastAsia="zh-CN"/>
        </w:rPr>
        <w:t>（以下简称事故调查组）</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由县安办牵头</w:t>
      </w:r>
      <w:r>
        <w:rPr>
          <w:rFonts w:hint="eastAsia" w:ascii="仿宋_GB2312" w:hAnsi="仿宋_GB2312" w:eastAsia="仿宋_GB2312" w:cs="仿宋_GB2312"/>
          <w:color w:val="000000"/>
          <w:sz w:val="32"/>
          <w:szCs w:val="32"/>
        </w:rPr>
        <w:t>组织</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应急局、县</w:t>
      </w:r>
      <w:r>
        <w:rPr>
          <w:rFonts w:hint="eastAsia" w:ascii="仿宋_GB2312" w:hAnsi="仿宋_GB2312" w:eastAsia="仿宋_GB2312" w:cs="仿宋_GB2312"/>
          <w:color w:val="000000"/>
          <w:sz w:val="32"/>
          <w:szCs w:val="32"/>
        </w:rPr>
        <w:t>公安局、</w:t>
      </w:r>
      <w:r>
        <w:rPr>
          <w:rFonts w:hint="eastAsia" w:ascii="仿宋_GB2312" w:hAnsi="仿宋_GB2312" w:eastAsia="仿宋_GB2312" w:cs="仿宋_GB2312"/>
          <w:color w:val="000000"/>
          <w:sz w:val="32"/>
          <w:szCs w:val="32"/>
          <w:lang w:val="en-US" w:eastAsia="zh-CN"/>
        </w:rPr>
        <w:t>交通局、公路事业发展中心、</w:t>
      </w:r>
      <w:r>
        <w:rPr>
          <w:rFonts w:hint="eastAsia" w:ascii="仿宋_GB2312" w:hAnsi="仿宋_GB2312" w:eastAsia="仿宋_GB2312" w:cs="仿宋_GB2312"/>
          <w:color w:val="000000"/>
          <w:sz w:val="32"/>
          <w:szCs w:val="32"/>
        </w:rPr>
        <w:t>总工会</w:t>
      </w:r>
      <w:r>
        <w:rPr>
          <w:rFonts w:hint="eastAsia" w:ascii="仿宋_GB2312" w:hAnsi="仿宋_GB2312" w:eastAsia="仿宋_GB2312" w:cs="仿宋_GB2312"/>
          <w:color w:val="000000"/>
          <w:sz w:val="32"/>
          <w:szCs w:val="32"/>
          <w:lang w:eastAsia="zh-CN"/>
        </w:rPr>
        <w:t>等单位开展</w:t>
      </w:r>
      <w:r>
        <w:rPr>
          <w:rFonts w:hint="eastAsia" w:ascii="仿宋_GB2312" w:hAnsi="仿宋_GB2312" w:eastAsia="仿宋_GB2312" w:cs="仿宋_GB2312"/>
          <w:color w:val="000000"/>
          <w:sz w:val="32"/>
          <w:szCs w:val="32"/>
        </w:rPr>
        <w:t>事故调查，同时邀请</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纪委监委</w:t>
      </w:r>
      <w:r>
        <w:rPr>
          <w:rFonts w:hint="eastAsia" w:ascii="仿宋_GB2312" w:hAnsi="仿宋_GB2312" w:eastAsia="仿宋_GB2312" w:cs="仿宋_GB2312"/>
          <w:color w:val="000000"/>
          <w:sz w:val="32"/>
          <w:szCs w:val="32"/>
        </w:rPr>
        <w:t>、检察院派人参加。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事故调查组按照“四不放过”和“科学严谨、依法依规、实事求是、注重实效”的原则，通过现场勘验、调查取证、异地函调和综合分析等方式，查明了事故发生的原因、经过、应急处置</w:t>
      </w:r>
      <w:r>
        <w:rPr>
          <w:rFonts w:hint="eastAsia" w:ascii="仿宋_GB2312" w:hAnsi="仿宋_GB2312" w:eastAsia="仿宋_GB2312" w:cs="仿宋_GB2312"/>
          <w:color w:val="000000"/>
          <w:sz w:val="32"/>
          <w:szCs w:val="32"/>
          <w:u w:val="none"/>
          <w:lang w:val="en-US" w:eastAsia="zh-CN"/>
        </w:rPr>
        <w:t>和人员伤亡情况</w:t>
      </w:r>
      <w:r>
        <w:rPr>
          <w:rFonts w:hint="eastAsia" w:ascii="仿宋_GB2312" w:hAnsi="仿宋_GB2312" w:eastAsia="仿宋_GB2312" w:cs="仿宋_GB2312"/>
          <w:color w:val="000000"/>
          <w:sz w:val="32"/>
          <w:szCs w:val="32"/>
          <w:lang w:val="en-US" w:eastAsia="zh-CN"/>
        </w:rPr>
        <w:t>，认定了事故性质和责任，提出了对相关责任人员和单位的处理建议，并针对事故原因及暴露出的问题，提出事故整改和防范措施。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经调查认定，连江县凤城镇</w:t>
      </w:r>
      <w:r>
        <w:rPr>
          <w:rFonts w:hint="eastAsia" w:ascii="仿宋_GB2312" w:hAnsi="仿宋_GB2312" w:eastAsia="仿宋_GB2312" w:cs="仿宋_GB2312"/>
          <w:color w:val="000000"/>
          <w:sz w:val="32"/>
          <w:szCs w:val="32"/>
        </w:rPr>
        <w:t>104国道与莲荷路交叉路口“5·20”</w:t>
      </w:r>
      <w:r>
        <w:rPr>
          <w:rFonts w:hint="eastAsia" w:ascii="仿宋_GB2312" w:hAnsi="仿宋_GB2312" w:eastAsia="仿宋_GB2312" w:cs="仿宋_GB2312"/>
          <w:color w:val="000000"/>
          <w:sz w:val="32"/>
          <w:szCs w:val="32"/>
          <w:lang w:val="en-US" w:eastAsia="zh-CN"/>
        </w:rPr>
        <w:t>道路交通事故是一起因非机动车驾驶员闯红灯通行和机动车驾驶员未注意观察路面情况，未确认安全后起步行驶造成的一般经营性道路交通生产安全非责任事故。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firstLine="0" w:firstLineChars="0"/>
        <w:jc w:val="both"/>
        <w:textAlignment w:val="auto"/>
        <w:outlineLvl w:val="0"/>
        <w:rPr>
          <w:rFonts w:hint="eastAsia" w:ascii="黑体" w:hAnsi="黑体" w:eastAsia="黑体" w:cs="黑体"/>
          <w:color w:val="000000"/>
          <w:kern w:val="2"/>
          <w:sz w:val="32"/>
          <w:szCs w:val="32"/>
          <w:lang w:val="en-US" w:eastAsia="zh-CN" w:bidi="ar-SA"/>
        </w:rPr>
      </w:pPr>
      <w:bookmarkStart w:id="2" w:name="_Toc818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firstLine="0" w:firstLineChars="0"/>
        <w:jc w:val="both"/>
        <w:textAlignment w:val="auto"/>
        <w:outlineLvl w:val="0"/>
        <w:rPr>
          <w:rFonts w:hint="eastAsia" w:ascii="黑体" w:hAnsi="黑体" w:eastAsia="黑体" w:cs="黑体"/>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firstLine="0" w:firstLineChars="0"/>
        <w:jc w:val="both"/>
        <w:textAlignment w:val="auto"/>
        <w:outlineLvl w:val="0"/>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kern w:val="2"/>
          <w:sz w:val="32"/>
          <w:szCs w:val="32"/>
          <w:lang w:val="en-US" w:eastAsia="zh-CN" w:bidi="ar-SA"/>
        </w:rPr>
        <w:t>一、</w:t>
      </w:r>
      <w:r>
        <w:rPr>
          <w:rFonts w:hint="eastAsia" w:ascii="黑体" w:hAnsi="黑体" w:eastAsia="黑体" w:cs="黑体"/>
          <w:color w:val="000000"/>
          <w:sz w:val="32"/>
          <w:szCs w:val="32"/>
          <w:lang w:val="en-US" w:eastAsia="zh-CN"/>
        </w:rPr>
        <w:t>事故基本情况</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（一）事故单位、车辆及相关人员概况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both"/>
        <w:textAlignment w:val="auto"/>
        <w:outlineLvl w:val="1"/>
        <w:rPr>
          <w:rFonts w:hint="default" w:ascii="楷体_GB2312" w:hAnsi="楷体_GB2312" w:eastAsia="楷体_GB2312" w:cs="楷体_GB2312"/>
          <w:color w:val="000000"/>
          <w:sz w:val="32"/>
          <w:szCs w:val="32"/>
          <w:lang w:val="en-US" w:eastAsia="zh-CN"/>
        </w:rPr>
      </w:pPr>
      <w:bookmarkStart w:id="3" w:name="_Toc10496"/>
      <w:r>
        <w:rPr>
          <w:rFonts w:hint="eastAsia" w:ascii="仿宋_GB2312" w:hAnsi="仿宋_GB2312" w:eastAsia="仿宋_GB2312" w:cs="仿宋_GB2312"/>
          <w:b/>
          <w:bCs/>
          <w:color w:val="000000"/>
          <w:sz w:val="32"/>
          <w:szCs w:val="32"/>
          <w:lang w:val="en-US" w:eastAsia="zh-CN"/>
        </w:rPr>
        <w:t>1.事故单位概况</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连云港明琼物流有限公司，统一社会信用代码：913207065593036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，住所：连云港市</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区</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镇</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院内</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室，类型：有限责任公司（自然人投资或控股），法定代表人：张</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成立日期2010年07月27日，营业期限2010年07月27日至2030年07月26日。经营范围：普通货运；普通货物仓储、配载服务；货物装卸、货物搬运服务；货物专用运输（罐式、集装箱、大件运输）。（依法须经批准的项目，经相关部门批准后方可开展经营活动）。一般项目：建筑材料销售（除依法须经批准的项目外，凭营业执照依法自主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outlineLvl w:val="1"/>
        <w:rPr>
          <w:rFonts w:hint="eastAsia" w:ascii="仿宋_GB2312" w:hAnsi="仿宋_GB2312" w:eastAsia="仿宋_GB2312" w:cs="仿宋_GB2312"/>
          <w:b/>
          <w:bCs/>
          <w:color w:val="000000"/>
          <w:sz w:val="32"/>
          <w:szCs w:val="32"/>
          <w:lang w:val="en-US" w:eastAsia="zh-CN"/>
        </w:rPr>
      </w:pPr>
      <w:bookmarkStart w:id="4" w:name="_Toc32517"/>
      <w:r>
        <w:rPr>
          <w:rFonts w:hint="eastAsia" w:ascii="仿宋_GB2312" w:hAnsi="仿宋_GB2312" w:eastAsia="仿宋_GB2312" w:cs="仿宋_GB2312"/>
          <w:b/>
          <w:bCs/>
          <w:color w:val="000000"/>
          <w:sz w:val="32"/>
          <w:szCs w:val="32"/>
          <w:lang w:val="en-US" w:eastAsia="zh-CN"/>
        </w:rPr>
        <w:t>2.事故车辆情况</w:t>
      </w:r>
      <w:bookmarkEnd w:id="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号重型半挂牵引车/苏GJA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挂号重型仓栅式半挂车，所有人：连云港明琼物流有限公司，地址：江苏省连云港市</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区</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镇</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号重型半挂牵引车发动机号：170917708</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，车辆识别代号：LJ18R4CL4H3315</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，状态：正常，初次登记日期：2018年01月18日，检验有效期止：2024年01月31日，准牵引总质量：40000Kg，整备质量：8800Kg。投保于中国平安财产保险股份有限公司，交强险保单号：11018033901888044</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，商业险保单号：11018033901888044</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。苏GJA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挂号重型仓栅式半挂车发动机号：无，车辆识别代号：LA99GRC37H0MYT</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，状态：正常，初次登记日期：2018年01月18日，检验有效期止：2024年01月31日，总质量：40000Kg，整备质量：6300Kg，核载质量：33700Kg。</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无号牌两轮自行车，车辆所有人：林某，身份证号：350122</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0052，住址：福建省连江县</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镇</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村</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outlineLvl w:val="1"/>
        <w:rPr>
          <w:rFonts w:hint="eastAsia" w:ascii="仿宋_GB2312" w:hAnsi="仿宋_GB2312" w:eastAsia="仿宋_GB2312" w:cs="仿宋_GB2312"/>
          <w:b/>
          <w:bCs/>
          <w:color w:val="000000"/>
          <w:sz w:val="32"/>
          <w:szCs w:val="32"/>
          <w:lang w:val="en-US" w:eastAsia="zh-CN"/>
        </w:rPr>
      </w:pPr>
      <w:bookmarkStart w:id="5" w:name="_Toc32010"/>
      <w:r>
        <w:rPr>
          <w:rFonts w:hint="eastAsia" w:ascii="仿宋_GB2312" w:hAnsi="仿宋_GB2312" w:eastAsia="仿宋_GB2312" w:cs="仿宋_GB2312"/>
          <w:b/>
          <w:bCs/>
          <w:color w:val="000000"/>
          <w:sz w:val="32"/>
          <w:szCs w:val="32"/>
          <w:lang w:val="en-US" w:eastAsia="zh-CN"/>
        </w:rPr>
        <w:t>3.事故相关人员情况</w:t>
      </w:r>
      <w:bookmarkEnd w:id="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李某某，男，汉族，家住江苏省连云港市</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区</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街道</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街</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号，身份证号：320704</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2010，准驾车型：A2D，档案编号：320700101</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，驾驶证状态：正常，在事故中驾驶苏GZ16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号重型半挂牵引车/苏GJA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挂号重型仓栅式半挂车，联系方式17798974</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，系连云港明琼物流有限公司驾驶员</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死者林某，男，汉族，家住福建省连江县</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镇</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村</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号，身份证号：350122</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0052，事故中骑行无号牌两轮自行车，在事故中当场死亡，家属联系方式13763848</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kern w:val="2"/>
          <w:sz w:val="32"/>
          <w:szCs w:val="32"/>
          <w:lang w:val="en-US" w:eastAsia="zh-CN" w:bidi="ar-SA"/>
        </w:rPr>
        <w:t>（二）事故单位安全管理情况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连云港明琼物流</w:t>
      </w:r>
      <w:r>
        <w:rPr>
          <w:rFonts w:hint="eastAsia" w:ascii="仿宋_GB2312" w:hAnsi="仿宋_GB2312" w:eastAsia="仿宋_GB2312" w:cs="仿宋_GB2312"/>
          <w:color w:val="000000"/>
          <w:sz w:val="32"/>
          <w:szCs w:val="32"/>
          <w:u w:val="none"/>
          <w:lang w:val="en-US" w:eastAsia="zh-CN"/>
        </w:rPr>
        <w:t>有限公司，</w:t>
      </w:r>
      <w:r>
        <w:rPr>
          <w:rFonts w:hint="eastAsia" w:ascii="仿宋_GB2312" w:hAnsi="仿宋_GB2312" w:eastAsia="仿宋_GB2312" w:cs="仿宋_GB2312"/>
          <w:b/>
          <w:bCs/>
          <w:color w:val="000000"/>
          <w:sz w:val="32"/>
          <w:szCs w:val="32"/>
          <w:u w:val="none"/>
          <w:lang w:val="en-US" w:eastAsia="zh-CN"/>
        </w:rPr>
        <w:t>一是</w:t>
      </w:r>
      <w:r>
        <w:rPr>
          <w:rFonts w:hint="eastAsia" w:ascii="仿宋_GB2312" w:hAnsi="仿宋_GB2312" w:eastAsia="仿宋_GB2312" w:cs="仿宋_GB2312"/>
          <w:color w:val="000000"/>
          <w:sz w:val="32"/>
          <w:szCs w:val="32"/>
          <w:u w:val="none"/>
          <w:lang w:val="en-US" w:eastAsia="zh-CN"/>
        </w:rPr>
        <w:t>设置了安全生产管理机构并配备专职安全生产管理人员，企业主要负责人和安全生产管理人员均取得安全考核合格证明。</w:t>
      </w:r>
      <w:r>
        <w:rPr>
          <w:rFonts w:hint="eastAsia" w:ascii="仿宋_GB2312" w:hAnsi="仿宋_GB2312" w:eastAsia="仿宋_GB2312" w:cs="仿宋_GB2312"/>
          <w:b/>
          <w:bCs/>
          <w:color w:val="000000"/>
          <w:sz w:val="32"/>
          <w:szCs w:val="32"/>
          <w:u w:val="none"/>
          <w:lang w:val="en-US" w:eastAsia="zh-CN"/>
        </w:rPr>
        <w:t>二是</w:t>
      </w:r>
      <w:r>
        <w:rPr>
          <w:rFonts w:hint="eastAsia" w:ascii="仿宋_GB2312" w:hAnsi="仿宋_GB2312" w:eastAsia="仿宋_GB2312" w:cs="仿宋_GB2312"/>
          <w:color w:val="000000"/>
          <w:sz w:val="32"/>
          <w:szCs w:val="32"/>
          <w:u w:val="none"/>
          <w:lang w:val="en-US" w:eastAsia="zh-CN"/>
        </w:rPr>
        <w:t>建立健全并落实了本单位全员安全生产责任制。</w:t>
      </w:r>
      <w:r>
        <w:rPr>
          <w:rFonts w:hint="eastAsia" w:ascii="仿宋_GB2312" w:hAnsi="仿宋_GB2312" w:eastAsia="仿宋_GB2312" w:cs="仿宋_GB2312"/>
          <w:b/>
          <w:bCs/>
          <w:color w:val="000000"/>
          <w:sz w:val="32"/>
          <w:szCs w:val="32"/>
          <w:u w:val="none"/>
          <w:lang w:val="en-US" w:eastAsia="zh-CN"/>
        </w:rPr>
        <w:t>三是</w:t>
      </w:r>
      <w:r>
        <w:rPr>
          <w:rFonts w:hint="eastAsia" w:ascii="仿宋_GB2312" w:hAnsi="仿宋_GB2312" w:eastAsia="仿宋_GB2312" w:cs="仿宋_GB2312"/>
          <w:color w:val="000000"/>
          <w:sz w:val="32"/>
          <w:szCs w:val="32"/>
          <w:u w:val="none"/>
          <w:lang w:val="en-US" w:eastAsia="zh-CN"/>
        </w:rPr>
        <w:t>组织制定并实施了本单位《安全生产管理制度汇编》和《安全操作规程汇编》，包括行车安全操作规程、卫星定位系统监控操作规程、车辆日常安全检查操作规程。</w:t>
      </w:r>
      <w:r>
        <w:rPr>
          <w:rFonts w:hint="eastAsia" w:ascii="仿宋_GB2312" w:hAnsi="仿宋_GB2312" w:eastAsia="仿宋_GB2312" w:cs="仿宋_GB2312"/>
          <w:b/>
          <w:bCs/>
          <w:color w:val="000000"/>
          <w:sz w:val="32"/>
          <w:szCs w:val="32"/>
          <w:u w:val="none"/>
          <w:lang w:val="en-US" w:eastAsia="zh-CN"/>
        </w:rPr>
        <w:t>四是</w:t>
      </w:r>
      <w:r>
        <w:rPr>
          <w:rFonts w:hint="eastAsia" w:ascii="仿宋_GB2312" w:hAnsi="仿宋_GB2312" w:eastAsia="仿宋_GB2312" w:cs="仿宋_GB2312"/>
          <w:b w:val="0"/>
          <w:bCs w:val="0"/>
          <w:color w:val="000000"/>
          <w:sz w:val="32"/>
          <w:szCs w:val="32"/>
          <w:u w:val="none"/>
          <w:lang w:val="en-US" w:eastAsia="zh-CN"/>
        </w:rPr>
        <w:t>建立道路货物运输企业安全教育培训台账</w:t>
      </w:r>
      <w:r>
        <w:rPr>
          <w:rFonts w:hint="eastAsia" w:ascii="仿宋_GB2312" w:hAnsi="仿宋_GB2312" w:eastAsia="仿宋_GB2312" w:cs="仿宋_GB2312"/>
          <w:color w:val="000000"/>
          <w:sz w:val="32"/>
          <w:szCs w:val="32"/>
          <w:u w:val="none"/>
          <w:lang w:val="en-US" w:eastAsia="zh-CN"/>
        </w:rPr>
        <w:t>，落实了对驾驶员李某某的岗前安全教育和日常安全教育。</w:t>
      </w:r>
      <w:r>
        <w:rPr>
          <w:rFonts w:hint="eastAsia" w:ascii="仿宋_GB2312" w:hAnsi="仿宋_GB2312" w:eastAsia="仿宋_GB2312" w:cs="仿宋_GB2312"/>
          <w:b/>
          <w:bCs/>
          <w:color w:val="000000"/>
          <w:sz w:val="32"/>
          <w:szCs w:val="32"/>
          <w:u w:val="none"/>
          <w:lang w:val="en-US" w:eastAsia="zh-CN"/>
        </w:rPr>
        <w:t>五是</w:t>
      </w:r>
      <w:r>
        <w:rPr>
          <w:rFonts w:hint="eastAsia" w:ascii="仿宋_GB2312" w:hAnsi="仿宋_GB2312" w:eastAsia="仿宋_GB2312" w:cs="仿宋_GB2312"/>
          <w:color w:val="000000"/>
          <w:sz w:val="32"/>
          <w:szCs w:val="32"/>
          <w:u w:val="none"/>
          <w:lang w:val="en-US" w:eastAsia="zh-CN"/>
        </w:rPr>
        <w:t>保证了本单位安全生产投入的有效实施，编制了道路货物运输企业安全费用提取记录表。</w:t>
      </w:r>
      <w:r>
        <w:rPr>
          <w:rFonts w:hint="eastAsia" w:ascii="仿宋_GB2312" w:hAnsi="仿宋_GB2312" w:eastAsia="仿宋_GB2312" w:cs="仿宋_GB2312"/>
          <w:b/>
          <w:bCs/>
          <w:color w:val="000000"/>
          <w:sz w:val="32"/>
          <w:szCs w:val="32"/>
          <w:u w:val="none"/>
          <w:lang w:val="en-US" w:eastAsia="zh-CN"/>
        </w:rPr>
        <w:t>六是</w:t>
      </w:r>
      <w:r>
        <w:rPr>
          <w:rFonts w:hint="eastAsia" w:ascii="仿宋_GB2312" w:hAnsi="仿宋_GB2312" w:eastAsia="仿宋_GB2312" w:cs="仿宋_GB2312"/>
          <w:color w:val="000000"/>
          <w:sz w:val="32"/>
          <w:szCs w:val="32"/>
          <w:u w:val="none"/>
          <w:lang w:val="en-US" w:eastAsia="zh-CN"/>
        </w:rPr>
        <w:t>组织建立了安全风险分级管控制度和生产安全事故隐患排查治理制度，编制了安全生产隐患排查方案和《道路货运运输企业隐患排除记录》，落实了对</w:t>
      </w:r>
      <w:r>
        <w:rPr>
          <w:rFonts w:hint="default" w:ascii="仿宋_GB2312" w:hAnsi="仿宋_GB2312" w:eastAsia="仿宋_GB2312" w:cs="仿宋_GB2312"/>
          <w:color w:val="000000"/>
          <w:sz w:val="32"/>
          <w:szCs w:val="32"/>
          <w:u w:val="none"/>
          <w:lang w:val="en-US" w:eastAsia="zh-CN"/>
        </w:rPr>
        <w:t>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u w:val="none"/>
          <w:lang w:val="en-US" w:eastAsia="zh-CN"/>
        </w:rPr>
        <w:t>号</w:t>
      </w:r>
      <w:r>
        <w:rPr>
          <w:rFonts w:hint="default" w:ascii="仿宋_GB2312" w:hAnsi="仿宋_GB2312" w:eastAsia="仿宋_GB2312" w:cs="仿宋_GB2312"/>
          <w:color w:val="000000"/>
          <w:sz w:val="32"/>
          <w:szCs w:val="32"/>
          <w:u w:val="none"/>
          <w:lang w:val="en-US" w:eastAsia="zh-CN"/>
        </w:rPr>
        <w:t>重型半挂牵引车</w:t>
      </w:r>
      <w:r>
        <w:rPr>
          <w:rFonts w:hint="eastAsia" w:ascii="仿宋_GB2312" w:hAnsi="仿宋_GB2312" w:eastAsia="仿宋_GB2312" w:cs="仿宋_GB2312"/>
          <w:color w:val="000000"/>
          <w:sz w:val="32"/>
          <w:szCs w:val="32"/>
          <w:u w:val="none"/>
          <w:lang w:val="en-US" w:eastAsia="zh-CN"/>
        </w:rPr>
        <w:t>的车辆维护、修理等工作，建立车辆技术档案，保证了车辆符合运行安全技术条件。</w:t>
      </w:r>
      <w:r>
        <w:rPr>
          <w:rFonts w:hint="eastAsia" w:ascii="仿宋_GB2312" w:hAnsi="仿宋_GB2312" w:eastAsia="仿宋_GB2312" w:cs="仿宋_GB2312"/>
          <w:b/>
          <w:bCs/>
          <w:color w:val="000000"/>
          <w:sz w:val="32"/>
          <w:szCs w:val="32"/>
          <w:u w:val="none"/>
          <w:lang w:val="en-US" w:eastAsia="zh-CN"/>
        </w:rPr>
        <w:t>七是</w:t>
      </w:r>
      <w:r>
        <w:rPr>
          <w:rFonts w:hint="eastAsia" w:ascii="仿宋_GB2312" w:hAnsi="仿宋_GB2312" w:eastAsia="仿宋_GB2312" w:cs="仿宋_GB2312"/>
          <w:color w:val="000000"/>
          <w:sz w:val="32"/>
          <w:szCs w:val="32"/>
          <w:u w:val="none"/>
          <w:lang w:val="en-US" w:eastAsia="zh-CN"/>
        </w:rPr>
        <w:t>组织制定了本单位的《应急预案》并进行演练。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kern w:val="2"/>
          <w:sz w:val="32"/>
          <w:szCs w:val="32"/>
          <w:lang w:val="en-US" w:eastAsia="zh-CN" w:bidi="ar-SA"/>
        </w:rPr>
        <w:t>（三）</w:t>
      </w:r>
      <w:r>
        <w:rPr>
          <w:rFonts w:hint="eastAsia" w:ascii="楷体_GB2312" w:hAnsi="楷体_GB2312" w:eastAsia="楷体_GB2312" w:cs="楷体_GB2312"/>
          <w:color w:val="000000"/>
          <w:sz w:val="32"/>
          <w:szCs w:val="32"/>
          <w:lang w:val="en-US" w:eastAsia="zh-CN"/>
        </w:rPr>
        <w:t>事故发生经过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2023年5月20日18时10分许，李某某驾驶苏GZ16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号重型半挂牵引车/苏GJA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挂号牌两轮自行车沿该路口北侧人行横道自西往东方向闯红灯通过，两车在该路口北侧人行横道内发生重型半挂牵引车与自行车碰撞碾压，造成林某当场死亡及两车损坏的交通事故。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（四）事故现场情况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现场位于国道104线2291KM+900M与连江县凤城镇莲荷路交叉路口，南往连江县琯头镇方向，北往连江县东湖镇方向，东往连江县凤城镇莲荷东路方向，西往连江县凤城镇玉泉山公园方向；104国道为双向五车道，中央金属护栏隔离，两侧为非机动车道，西侧机非道路金属护栏隔离，道路施划人行横道标线、停止线、分道线、导向线，设置交叉路口、人行横道交通标志；莲荷路为双向四车道，中央金属护栏隔离，两侧为非机动车道，机非道路绿化带隔离，道路施划中央双黄实线，人行横道标线、停止线、分道线、导向线；道路为干燥完好沥青路面，夜间路灯照明，该路口由交通信号灯控制，设置渠化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（五）人员伤亡和直接经济损失情况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本起事故共造成1人死亡，两车不同程度受损，直接经济损失约</w:t>
      </w:r>
      <w:r>
        <w:rPr>
          <w:rFonts w:hint="eastAsia" w:ascii="仿宋_GB2312" w:hAnsi="仿宋_GB2312" w:eastAsia="仿宋_GB2312" w:cs="仿宋_GB2312"/>
          <w:color w:val="auto"/>
          <w:sz w:val="32"/>
          <w:szCs w:val="32"/>
          <w:u w:val="none"/>
          <w:lang w:val="en-US" w:eastAsia="zh-CN"/>
        </w:rPr>
        <w:t>76万元。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6" w:name="_Toc18540"/>
      <w:r>
        <w:rPr>
          <w:rFonts w:hint="eastAsia" w:ascii="黑体" w:hAnsi="黑体" w:eastAsia="黑体" w:cs="黑体"/>
          <w:color w:val="000000"/>
          <w:kern w:val="2"/>
          <w:sz w:val="32"/>
          <w:szCs w:val="32"/>
          <w:lang w:val="en-US" w:eastAsia="zh-CN" w:bidi="ar-SA"/>
        </w:rPr>
        <w:t>二、</w:t>
      </w:r>
      <w:r>
        <w:rPr>
          <w:rFonts w:hint="eastAsia" w:ascii="黑体" w:hAnsi="黑体" w:eastAsia="黑体" w:cs="黑体"/>
          <w:color w:val="000000"/>
          <w:sz w:val="32"/>
          <w:szCs w:val="32"/>
          <w:lang w:val="en-US" w:eastAsia="zh-CN"/>
        </w:rPr>
        <w:t>事故应急处置及评估情况</w:t>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（一）事故信息接报及响应情况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2023年5月20日19时04分许事故发生后，李某某拨打了110、120报警电话。</w:t>
      </w:r>
      <w:r>
        <w:rPr>
          <w:rFonts w:hint="eastAsia" w:ascii="仿宋_GB2312" w:hAnsi="仿宋_GB2312" w:eastAsia="仿宋_GB2312" w:cs="仿宋_GB2312"/>
          <w:color w:val="000000"/>
          <w:sz w:val="32"/>
          <w:szCs w:val="32"/>
          <w:u w:val="none"/>
          <w:lang w:val="en-US" w:eastAsia="zh-CN"/>
        </w:rPr>
        <w:t>接报后，连江县公安局交警大队第一时间赶往事故现场，</w:t>
      </w:r>
      <w:r>
        <w:rPr>
          <w:rFonts w:hint="eastAsia" w:ascii="仿宋_GB2312" w:hAnsi="仿宋_GB2312" w:eastAsia="仿宋_GB2312" w:cs="仿宋_GB2312"/>
          <w:color w:val="000000"/>
          <w:sz w:val="32"/>
          <w:szCs w:val="32"/>
          <w:lang w:val="en-US" w:eastAsia="zh-CN"/>
        </w:rPr>
        <w:t>林某</w:t>
      </w:r>
      <w:r>
        <w:rPr>
          <w:rFonts w:hint="eastAsia" w:ascii="仿宋_GB2312" w:hAnsi="仿宋_GB2312" w:eastAsia="仿宋_GB2312" w:cs="仿宋_GB2312"/>
          <w:color w:val="000000"/>
          <w:sz w:val="32"/>
          <w:szCs w:val="32"/>
          <w:u w:val="none"/>
          <w:lang w:val="en-US" w:eastAsia="zh-CN"/>
        </w:rPr>
        <w:t>经医护人员确认已当场死亡，随即保护现场并进行交通疏导及勘查工作，并对驾驶员进行抽血送检，现场扣留车辆。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（二）善后情况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auto"/>
          <w:sz w:val="32"/>
          <w:szCs w:val="32"/>
          <w:u w:val="none"/>
          <w:lang w:val="en-US" w:eastAsia="zh-CN"/>
        </w:rPr>
        <w:t>根据道路交通事故损害人伤赔偿协议赔偿76.6258万元，事故善后处置工作已结束</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7" w:name="_Toc1256"/>
      <w:r>
        <w:rPr>
          <w:rFonts w:hint="eastAsia" w:ascii="黑体" w:hAnsi="黑体" w:eastAsia="黑体" w:cs="黑体"/>
          <w:color w:val="000000"/>
          <w:kern w:val="2"/>
          <w:sz w:val="32"/>
          <w:szCs w:val="32"/>
          <w:lang w:val="en-US" w:eastAsia="zh-CN" w:bidi="ar-SA"/>
        </w:rPr>
        <w:t>三、</w:t>
      </w:r>
      <w:r>
        <w:rPr>
          <w:rFonts w:hint="eastAsia" w:ascii="黑体" w:hAnsi="黑体" w:eastAsia="黑体" w:cs="黑体"/>
          <w:color w:val="000000"/>
          <w:sz w:val="32"/>
          <w:szCs w:val="32"/>
          <w:lang w:val="en-US" w:eastAsia="zh-CN"/>
        </w:rPr>
        <w:t>事故原因分析</w:t>
      </w:r>
      <w:bookmarkEnd w:id="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事故直接原因是：当事人林某（无号牌自行车骑行人）闯红灯和李某某（苏GZ16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号重型半挂牵引车驾驶人）</w:t>
      </w:r>
      <w:r>
        <w:rPr>
          <w:rFonts w:hint="default" w:ascii="仿宋_GB2312" w:hAnsi="仿宋_GB2312" w:eastAsia="仿宋_GB2312" w:cs="仿宋_GB2312"/>
          <w:color w:val="000000"/>
          <w:sz w:val="32"/>
          <w:szCs w:val="32"/>
          <w:lang w:val="en-US" w:eastAsia="zh-CN"/>
        </w:rPr>
        <w:t>未</w:t>
      </w:r>
      <w:r>
        <w:rPr>
          <w:rFonts w:hint="eastAsia" w:ascii="仿宋_GB2312" w:hAnsi="仿宋_GB2312" w:eastAsia="仿宋_GB2312" w:cs="仿宋_GB2312"/>
          <w:color w:val="000000"/>
          <w:sz w:val="32"/>
          <w:szCs w:val="32"/>
          <w:lang w:val="en-US" w:eastAsia="zh-CN"/>
        </w:rPr>
        <w:t>确认安全后起步行驶</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双方均存在严重危及行车安全的交通违法行为。根据连江县公安局交通警察大队道路交通事故认定书（第35012212023000</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号），本起事故中当事人林某和李某某负同等责任。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1.当事人林某2023年5月20日19时许，骑行无号牌两轮自行车去北门市场理发，19时04分，行经事故路口沿人行横道闯红灯通行，其行为违反了《中华人民共和国道路交通安全法实施条例》第三十八条第一款第三项</w:t>
      </w:r>
      <w:r>
        <w:rPr>
          <w:rFonts w:hint="eastAsia" w:ascii="仿宋_GB2312" w:hAnsi="仿宋_GB2312" w:eastAsia="仿宋_GB2312" w:cs="仿宋_GB2312"/>
          <w:color w:val="000000"/>
          <w:sz w:val="32"/>
          <w:szCs w:val="32"/>
          <w:vertAlign w:val="superscript"/>
          <w:lang w:val="en-US" w:eastAsia="zh-CN"/>
        </w:rPr>
        <w:t>[1]</w:t>
      </w:r>
      <w:r>
        <w:rPr>
          <w:rFonts w:hint="eastAsia" w:ascii="仿宋_GB2312" w:hAnsi="仿宋_GB2312" w:eastAsia="仿宋_GB2312" w:cs="仿宋_GB2312"/>
          <w:color w:val="000000"/>
          <w:sz w:val="32"/>
          <w:szCs w:val="32"/>
          <w:lang w:val="en-US" w:eastAsia="zh-CN"/>
        </w:rPr>
        <w:t>的规定，</w:t>
      </w:r>
      <w:r>
        <w:rPr>
          <w:rFonts w:hint="default" w:ascii="仿宋_GB2312" w:hAnsi="仿宋_GB2312" w:eastAsia="仿宋_GB2312" w:cs="仿宋_GB2312"/>
          <w:color w:val="000000"/>
          <w:sz w:val="32"/>
          <w:szCs w:val="32"/>
          <w:lang w:val="en-US" w:eastAsia="zh-CN"/>
        </w:rPr>
        <w:t>是造成本事故发生的</w:t>
      </w:r>
      <w:r>
        <w:rPr>
          <w:rFonts w:hint="eastAsia" w:ascii="仿宋_GB2312" w:hAnsi="仿宋_GB2312" w:eastAsia="仿宋_GB2312" w:cs="仿宋_GB2312"/>
          <w:color w:val="000000"/>
          <w:sz w:val="32"/>
          <w:szCs w:val="32"/>
          <w:lang w:val="en-US" w:eastAsia="zh-CN"/>
        </w:rPr>
        <w:t>直接</w:t>
      </w:r>
      <w:r>
        <w:rPr>
          <w:rFonts w:hint="default" w:ascii="仿宋_GB2312" w:hAnsi="仿宋_GB2312" w:eastAsia="仿宋_GB2312" w:cs="仿宋_GB2312"/>
          <w:color w:val="000000"/>
          <w:sz w:val="32"/>
          <w:szCs w:val="32"/>
          <w:lang w:val="en-US" w:eastAsia="zh-CN"/>
        </w:rPr>
        <w:t>原因</w:t>
      </w:r>
      <w:r>
        <w:rPr>
          <w:rFonts w:hint="eastAsia" w:ascii="仿宋_GB2312" w:hAnsi="仿宋_GB2312" w:eastAsia="仿宋_GB2312" w:cs="仿宋_GB2312"/>
          <w:color w:val="000000"/>
          <w:sz w:val="32"/>
          <w:szCs w:val="32"/>
          <w:lang w:val="en-US" w:eastAsia="zh-CN"/>
        </w:rPr>
        <w:t>之一</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2.2023年5月20日19时04分许，李某某驾驶苏GZ16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号重型半挂牵引车后挂苏</w:t>
      </w:r>
      <w:bookmarkStart w:id="10" w:name="_GoBack"/>
      <w:bookmarkEnd w:id="10"/>
      <w:r>
        <w:rPr>
          <w:rFonts w:hint="eastAsia" w:ascii="仿宋_GB2312" w:hAnsi="仿宋_GB2312" w:eastAsia="仿宋_GB2312" w:cs="仿宋_GB2312"/>
          <w:color w:val="000000"/>
          <w:sz w:val="32"/>
          <w:szCs w:val="32"/>
          <w:lang w:val="en-US" w:eastAsia="zh-CN"/>
        </w:rPr>
        <w:t>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挂号重型仓栅式半挂车行经国道104线2291KM+900M与连江县凤城镇莲荷路交叉路口绿灯起步时，</w:t>
      </w:r>
      <w:r>
        <w:rPr>
          <w:rFonts w:hint="default" w:ascii="仿宋_GB2312" w:hAnsi="仿宋_GB2312" w:eastAsia="仿宋_GB2312" w:cs="仿宋_GB2312"/>
          <w:color w:val="000000"/>
          <w:sz w:val="32"/>
          <w:szCs w:val="32"/>
          <w:lang w:val="en-US" w:eastAsia="zh-CN"/>
        </w:rPr>
        <w:t>未注意观察路面情况，</w:t>
      </w:r>
      <w:r>
        <w:rPr>
          <w:rFonts w:hint="eastAsia" w:ascii="仿宋_GB2312" w:hAnsi="仿宋_GB2312" w:eastAsia="仿宋_GB2312" w:cs="仿宋_GB2312"/>
          <w:color w:val="000000"/>
          <w:sz w:val="32"/>
          <w:szCs w:val="32"/>
          <w:lang w:val="en-US" w:eastAsia="zh-CN"/>
        </w:rPr>
        <w:t>未确认安全后起步行驶</w:t>
      </w:r>
      <w:r>
        <w:rPr>
          <w:rFonts w:hint="default" w:ascii="仿宋_GB2312" w:hAnsi="仿宋_GB2312" w:eastAsia="仿宋_GB2312" w:cs="仿宋_GB2312"/>
          <w:color w:val="000000"/>
          <w:sz w:val="32"/>
          <w:szCs w:val="32"/>
          <w:lang w:val="en-US" w:eastAsia="zh-CN"/>
        </w:rPr>
        <w:t>，导致</w:t>
      </w:r>
      <w:r>
        <w:rPr>
          <w:rFonts w:hint="eastAsia" w:ascii="仿宋_GB2312" w:hAnsi="仿宋_GB2312" w:eastAsia="仿宋_GB2312" w:cs="仿宋_GB2312"/>
          <w:color w:val="000000"/>
          <w:sz w:val="32"/>
          <w:szCs w:val="32"/>
          <w:lang w:val="en-US" w:eastAsia="zh-CN"/>
        </w:rPr>
        <w:t>重型半挂牵引车</w:t>
      </w:r>
      <w:r>
        <w:rPr>
          <w:rFonts w:hint="default" w:ascii="仿宋_GB2312" w:hAnsi="仿宋_GB2312" w:eastAsia="仿宋_GB2312" w:cs="仿宋_GB2312"/>
          <w:color w:val="000000"/>
          <w:sz w:val="32"/>
          <w:szCs w:val="32"/>
          <w:lang w:val="en-US" w:eastAsia="zh-CN"/>
        </w:rPr>
        <w:t>碰撞并碾压左前方的两轮自行车，</w:t>
      </w:r>
      <w:r>
        <w:rPr>
          <w:rFonts w:hint="eastAsia" w:ascii="仿宋_GB2312" w:hAnsi="仿宋_GB2312" w:eastAsia="仿宋_GB2312" w:cs="仿宋_GB2312"/>
          <w:color w:val="000000"/>
          <w:sz w:val="32"/>
          <w:szCs w:val="32"/>
          <w:lang w:val="en-US" w:eastAsia="zh-CN"/>
        </w:rPr>
        <w:t>其行为违反了《中华人民共和国道路交通安全法》第二十二条第一款</w:t>
      </w:r>
      <w:r>
        <w:rPr>
          <w:rFonts w:hint="eastAsia" w:ascii="仿宋_GB2312" w:hAnsi="仿宋_GB2312" w:eastAsia="仿宋_GB2312" w:cs="仿宋_GB2312"/>
          <w:color w:val="000000"/>
          <w:sz w:val="32"/>
          <w:szCs w:val="32"/>
          <w:vertAlign w:val="superscript"/>
          <w:lang w:val="en-US" w:eastAsia="zh-CN"/>
        </w:rPr>
        <w:t>[2]</w:t>
      </w:r>
      <w:r>
        <w:rPr>
          <w:rFonts w:hint="eastAsia" w:ascii="仿宋_GB2312" w:hAnsi="仿宋_GB2312" w:eastAsia="仿宋_GB2312" w:cs="仿宋_GB2312"/>
          <w:color w:val="000000"/>
          <w:sz w:val="32"/>
          <w:szCs w:val="32"/>
          <w:lang w:val="en-US" w:eastAsia="zh-CN"/>
        </w:rPr>
        <w:t>的规定，</w:t>
      </w:r>
      <w:r>
        <w:rPr>
          <w:rFonts w:hint="default" w:ascii="仿宋_GB2312" w:hAnsi="仿宋_GB2312" w:eastAsia="仿宋_GB2312" w:cs="仿宋_GB2312"/>
          <w:color w:val="000000"/>
          <w:sz w:val="32"/>
          <w:szCs w:val="32"/>
          <w:lang w:val="en-US" w:eastAsia="zh-CN"/>
        </w:rPr>
        <w:t>是造成本事故发生的</w:t>
      </w:r>
      <w:r>
        <w:rPr>
          <w:rFonts w:hint="eastAsia" w:ascii="仿宋_GB2312" w:hAnsi="仿宋_GB2312" w:eastAsia="仿宋_GB2312" w:cs="仿宋_GB2312"/>
          <w:color w:val="000000"/>
          <w:sz w:val="32"/>
          <w:szCs w:val="32"/>
          <w:lang w:val="en-US" w:eastAsia="zh-CN"/>
        </w:rPr>
        <w:t>直接</w:t>
      </w:r>
      <w:r>
        <w:rPr>
          <w:rFonts w:hint="default" w:ascii="仿宋_GB2312" w:hAnsi="仿宋_GB2312" w:eastAsia="仿宋_GB2312" w:cs="仿宋_GB2312"/>
          <w:color w:val="000000"/>
          <w:sz w:val="32"/>
          <w:szCs w:val="32"/>
          <w:lang w:val="en-US" w:eastAsia="zh-CN"/>
        </w:rPr>
        <w:t>原因</w:t>
      </w:r>
      <w:r>
        <w:rPr>
          <w:rFonts w:hint="eastAsia" w:ascii="仿宋_GB2312" w:hAnsi="仿宋_GB2312" w:eastAsia="仿宋_GB2312" w:cs="仿宋_GB2312"/>
          <w:color w:val="000000"/>
          <w:sz w:val="32"/>
          <w:szCs w:val="32"/>
          <w:lang w:val="en-US" w:eastAsia="zh-CN"/>
        </w:rPr>
        <w:t>之一</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（二）事故车辆技术鉴定情况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南方司法鉴定中心[2023]痕（C）鉴字第1</w:t>
      </w:r>
      <w:r>
        <w:rPr>
          <w:rFonts w:hint="eastAsia" w:ascii="仿宋_GB2312" w:hAnsi="仿宋_GB2312" w:eastAsia="仿宋_GB2312" w:cs="仿宋_GB2312"/>
          <w:color w:val="000000"/>
          <w:sz w:val="32"/>
          <w:szCs w:val="32"/>
          <w:lang w:val="en-US" w:eastAsia="zh-CN"/>
        </w:rPr>
        <w:t>257</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：①苏GZ1</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号重型半挂牵引车后挂苏GJA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挂半挂车整车照明及信号装置的功能均有效，符合所依据标准中的运行安全技术条件</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②苏GZ16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号重型半挂牵引车后挂苏GJA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挂半挂车的转向系及制动系的功能均有效，符合所依据标准中的运行安全技术条件</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南方司法鉴定中心[2023]痕（C）鉴字第1</w:t>
      </w:r>
      <w:r>
        <w:rPr>
          <w:rFonts w:hint="eastAsia" w:ascii="仿宋_GB2312" w:hAnsi="仿宋_GB2312" w:eastAsia="仿宋_GB2312" w:cs="仿宋_GB2312"/>
          <w:color w:val="000000"/>
          <w:sz w:val="32"/>
          <w:szCs w:val="32"/>
          <w:lang w:val="en-US" w:eastAsia="zh-CN"/>
        </w:rPr>
        <w:t>258</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：①无号牌两轮自行车转向功能有效，符合运行安全要求</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②无号牌两轮自行车事故时整车制动功能有效，符合运行安全要求</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南方司法鉴定中心[2023]车痕鉴字第579号鉴定意见:送检无号牌两轮自行车通过路口人行横道时，其对应人行横道方向的目标信号灯为红色禁止通行灯。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南方司法鉴定中心[2023]车痕鉴字第591号鉴定意见:送检苏GZ16</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号重型半挂牵引车后挂苏GJA</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挂半挂车在路口白色停止线内与自行车发生碰撞时，其对应行驶方向的目标信号灯为绿色通行灯。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南方司法鉴定中心[2023]车痕鉴字第</w:t>
      </w:r>
      <w:r>
        <w:rPr>
          <w:rFonts w:hint="eastAsia" w:ascii="仿宋_GB2312" w:hAnsi="仿宋_GB2312" w:eastAsia="仿宋_GB2312" w:cs="仿宋_GB2312"/>
          <w:color w:val="000000"/>
          <w:sz w:val="32"/>
          <w:szCs w:val="32"/>
          <w:lang w:val="en-US" w:eastAsia="zh-CN"/>
        </w:rPr>
        <w:t>561</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苏GZ16</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号重型半挂牵引车后挂苏GJA</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挂半挂车与无号牌两轮自行车处于接近垂直行驶状态相遇时，牵引车的前面左部先与自行车的左侧发生碰撞致自行车及其骑行人</w:t>
      </w:r>
      <w:r>
        <w:rPr>
          <w:rFonts w:hint="eastAsia" w:ascii="仿宋_GB2312" w:hAnsi="仿宋_GB2312" w:eastAsia="仿宋_GB2312" w:cs="仿宋_GB2312"/>
          <w:color w:val="000000"/>
          <w:sz w:val="32"/>
          <w:szCs w:val="32"/>
          <w:lang w:val="en-US" w:eastAsia="zh-CN"/>
        </w:rPr>
        <w:t>林某（</w:t>
      </w:r>
      <w:r>
        <w:rPr>
          <w:rFonts w:hint="default" w:ascii="仿宋_GB2312" w:hAnsi="仿宋_GB2312" w:eastAsia="仿宋_GB2312" w:cs="仿宋_GB2312"/>
          <w:color w:val="000000"/>
          <w:sz w:val="32"/>
          <w:szCs w:val="32"/>
          <w:lang w:val="en-US" w:eastAsia="zh-CN"/>
        </w:rPr>
        <w:t>身份</w:t>
      </w:r>
      <w:r>
        <w:rPr>
          <w:rFonts w:hint="eastAsia" w:ascii="仿宋_GB2312" w:hAnsi="仿宋_GB2312" w:eastAsia="仿宋_GB2312" w:cs="仿宋_GB2312"/>
          <w:color w:val="000000"/>
          <w:sz w:val="32"/>
          <w:szCs w:val="32"/>
          <w:lang w:val="en-US" w:eastAsia="zh-CN"/>
        </w:rPr>
        <w:t>号码</w:t>
      </w:r>
      <w:r>
        <w:rPr>
          <w:rFonts w:hint="default" w:ascii="仿宋_GB2312" w:hAnsi="仿宋_GB2312" w:eastAsia="仿宋_GB2312" w:cs="仿宋_GB2312"/>
          <w:color w:val="000000"/>
          <w:sz w:val="32"/>
          <w:szCs w:val="32"/>
          <w:lang w:val="en-US" w:eastAsia="zh-CN"/>
        </w:rPr>
        <w:t>为350122</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0052</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向右侧倒地</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随即，牵引车的转向桥左轮又碾压过向右倒地状态下的自行车</w:t>
      </w:r>
      <w:r>
        <w:rPr>
          <w:rFonts w:hint="eastAsia" w:ascii="仿宋_GB2312" w:hAnsi="仿宋_GB2312" w:eastAsia="仿宋_GB2312" w:cs="仿宋_GB2312"/>
          <w:color w:val="000000"/>
          <w:sz w:val="32"/>
          <w:szCs w:val="32"/>
          <w:lang w:val="en-US" w:eastAsia="zh-CN"/>
        </w:rPr>
        <w:t>的</w:t>
      </w:r>
      <w:r>
        <w:rPr>
          <w:rFonts w:hint="default" w:ascii="仿宋_GB2312" w:hAnsi="仿宋_GB2312" w:eastAsia="仿宋_GB2312" w:cs="仿宋_GB2312"/>
          <w:color w:val="000000"/>
          <w:sz w:val="32"/>
          <w:szCs w:val="32"/>
          <w:lang w:val="en-US" w:eastAsia="zh-CN"/>
        </w:rPr>
        <w:t>车体左部及其骑行人</w:t>
      </w:r>
      <w:r>
        <w:rPr>
          <w:rFonts w:hint="eastAsia" w:ascii="仿宋_GB2312" w:hAnsi="仿宋_GB2312" w:eastAsia="仿宋_GB2312" w:cs="仿宋_GB2312"/>
          <w:color w:val="000000"/>
          <w:sz w:val="32"/>
          <w:szCs w:val="32"/>
          <w:lang w:val="en-US" w:eastAsia="zh-CN"/>
        </w:rPr>
        <w:t>林某的</w:t>
      </w:r>
      <w:r>
        <w:rPr>
          <w:rFonts w:hint="default" w:ascii="仿宋_GB2312" w:hAnsi="仿宋_GB2312" w:eastAsia="仿宋_GB2312" w:cs="仿宋_GB2312"/>
          <w:color w:val="000000"/>
          <w:sz w:val="32"/>
          <w:szCs w:val="32"/>
          <w:lang w:val="en-US" w:eastAsia="zh-CN"/>
        </w:rPr>
        <w:t>身体可以成立。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南方司法鉴定中心[2023]病鉴字第204号鉴定意见:</w:t>
      </w:r>
      <w:r>
        <w:rPr>
          <w:rFonts w:hint="eastAsia" w:ascii="仿宋_GB2312" w:hAnsi="仿宋_GB2312" w:eastAsia="仿宋_GB2312" w:cs="仿宋_GB2312"/>
          <w:color w:val="000000"/>
          <w:sz w:val="32"/>
          <w:szCs w:val="32"/>
          <w:lang w:val="en-US" w:eastAsia="zh-CN"/>
        </w:rPr>
        <w:t>林某</w:t>
      </w:r>
      <w:r>
        <w:rPr>
          <w:rFonts w:hint="default" w:ascii="仿宋_GB2312" w:hAnsi="仿宋_GB2312" w:eastAsia="仿宋_GB2312" w:cs="仿宋_GB2312"/>
          <w:color w:val="000000"/>
          <w:sz w:val="32"/>
          <w:szCs w:val="32"/>
          <w:lang w:val="en-US" w:eastAsia="zh-CN"/>
        </w:rPr>
        <w:t>符合因交通事故致颅脑及胸腔脏器损伤死亡。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8" w:name="_Toc25054"/>
      <w:r>
        <w:rPr>
          <w:rFonts w:hint="eastAsia" w:ascii="黑体" w:hAnsi="黑体" w:eastAsia="黑体" w:cs="黑体"/>
          <w:color w:val="000000"/>
          <w:sz w:val="32"/>
          <w:szCs w:val="32"/>
          <w:lang w:val="en-US" w:eastAsia="zh-CN"/>
        </w:rPr>
        <w:t>四、对有关责任人员和单位的处理建议</w:t>
      </w:r>
      <w:bookmarkEnd w:id="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（一）对有关责任人员处理建议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林某，对事故负同等责任。鉴于已在本次事故中死亡，建议不予追究责任。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李某某，男，苏GZ16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号重型半挂牵引车/苏GJA</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仓栅式半挂车驾驶人，未注意观察路面情况，未确认安全后起步行驶，与本起事故中林某负同等责任,违反的《中华人民共和国道路交通安全法》第二十二条第一款规定，因无相应的行政处罚违法代码，其交通安全违法行为公安机关未作出行政处罚，建议不予追究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（二）对有关单位处理建议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连云港明琼物流有限公司，经调查，未发现存在与本次事故的发生有直接关系的违法行为，且公安机关对连云港明琼物流有限公司驾驶员李某某未作出行政处罚，建议该公司无责任。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9" w:name="_Toc6994"/>
      <w:r>
        <w:rPr>
          <w:rFonts w:hint="eastAsia" w:ascii="黑体" w:hAnsi="黑体" w:eastAsia="黑体" w:cs="黑体"/>
          <w:color w:val="000000"/>
          <w:sz w:val="32"/>
          <w:szCs w:val="32"/>
          <w:lang w:val="en-US" w:eastAsia="zh-CN"/>
        </w:rPr>
        <w:t>五、事故整改和防范措施建议</w:t>
      </w:r>
      <w:bookmarkEnd w:id="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为认真吸取教训，举一反三，采取措施，加强道路交通安全管理工作，防止同类事故的重复发生。事故调查组结合本次事故暴露出来的问题，提出事故防范措施建议如下：</w:t>
      </w:r>
    </w:p>
    <w:p>
      <w:pPr>
        <w:keepNext w:val="0"/>
        <w:keepLines w:val="0"/>
        <w:pageBreakBefore w:val="0"/>
        <w:widowControl w:val="0"/>
        <w:kinsoku/>
        <w:wordWrap/>
        <w:overflowPunct/>
        <w:topLinePunct w:val="0"/>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auto"/>
          <w:sz w:val="32"/>
          <w:szCs w:val="32"/>
          <w:lang w:val="en-US" w:eastAsia="zh-CN"/>
        </w:rPr>
        <w:t>1、连云港明琼物流有限公司应立即转变安</w:t>
      </w:r>
      <w:r>
        <w:rPr>
          <w:rFonts w:hint="eastAsia" w:ascii="仿宋_GB2312" w:hAnsi="仿宋_GB2312" w:eastAsia="仿宋_GB2312" w:cs="仿宋_GB2312"/>
          <w:color w:val="000000"/>
          <w:sz w:val="32"/>
          <w:szCs w:val="32"/>
          <w:lang w:val="en-US" w:eastAsia="zh-CN"/>
        </w:rPr>
        <w:t>全生产管理理念，严格落实安全生产主体责任，</w:t>
      </w:r>
      <w:r>
        <w:rPr>
          <w:rFonts w:hint="eastAsia" w:ascii="仿宋_GB2312" w:hAnsi="仿宋_GB2312" w:eastAsia="仿宋_GB2312" w:cs="仿宋_GB2312"/>
          <w:i w:val="0"/>
          <w:iCs w:val="0"/>
          <w:color w:val="000000"/>
          <w:sz w:val="32"/>
          <w:szCs w:val="32"/>
          <w:u w:val="none"/>
          <w:lang w:val="en-US" w:eastAsia="zh-CN"/>
        </w:rPr>
        <w:t>加大对安全生产的人员、资金、物资、技术的投入保障力度，改善安全生产条件</w:t>
      </w:r>
      <w:r>
        <w:rPr>
          <w:rFonts w:hint="eastAsia" w:ascii="仿宋_GB2312" w:hAnsi="仿宋_GB2312" w:eastAsia="仿宋_GB2312" w:cs="仿宋_GB2312"/>
          <w:color w:val="000000"/>
          <w:sz w:val="32"/>
          <w:szCs w:val="32"/>
          <w:lang w:val="en-US" w:eastAsia="zh-CN"/>
        </w:rPr>
        <w:t>；加强对驾驶员的继续教育，增强从业人员安全意识，进一步规范驾驶员从业行为、保障安全；认真吸取事故教训，</w:t>
      </w:r>
      <w:r>
        <w:rPr>
          <w:rFonts w:hint="eastAsia" w:ascii="仿宋_GB2312" w:hAnsi="仿宋_GB2312" w:eastAsia="仿宋_GB2312" w:cs="仿宋_GB2312"/>
          <w:color w:val="000000"/>
          <w:sz w:val="32"/>
          <w:szCs w:val="32"/>
          <w:u w:val="none"/>
          <w:lang w:val="en-US" w:eastAsia="zh-CN"/>
        </w:rPr>
        <w:t>制定问题整改计划和措施，</w:t>
      </w:r>
      <w:r>
        <w:rPr>
          <w:rFonts w:hint="eastAsia" w:ascii="仿宋_GB2312" w:hAnsi="仿宋_GB2312" w:eastAsia="仿宋_GB2312" w:cs="仿宋_GB2312"/>
          <w:color w:val="000000"/>
          <w:sz w:val="32"/>
          <w:szCs w:val="32"/>
          <w:lang w:val="en-US" w:eastAsia="zh-CN"/>
        </w:rPr>
        <w:t>举一反三，引以为戒，防止类似事故再次发生。</w:t>
      </w:r>
    </w:p>
    <w:p>
      <w:pPr>
        <w:keepNext w:val="0"/>
        <w:keepLines w:val="0"/>
        <w:pageBreakBefore w:val="0"/>
        <w:widowControl w:val="0"/>
        <w:kinsoku/>
        <w:wordWrap/>
        <w:overflowPunct/>
        <w:topLinePunct w:val="0"/>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连云港市交通运输监管机构要进一步加大道路运输行业管理力度，督促企业严格落实安全生产主体责任。督促事故企业抓好问题整改计划和措施落实，及时通报连江县凤城镇104国道与莲荷路交叉路口“5.20”一般道路交通生产安全事故教训，举一反三，堵塞各种安全漏洞，防止类似事故发生。</w:t>
      </w:r>
    </w:p>
    <w:p>
      <w:pPr>
        <w:keepNext w:val="0"/>
        <w:keepLines w:val="0"/>
        <w:pageBreakBefore w:val="0"/>
        <w:widowControl w:val="0"/>
        <w:kinsoku/>
        <w:wordWrap/>
        <w:overflowPunct/>
        <w:topLinePunct w:val="0"/>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3、福州市连江公路事业发展中心要按照职责分工科学规范设置道路安全设施、交通标志标线，加强公路日常养护作业，加强路面和沿线设施的巡查、检查和维护，确保道路安全。</w:t>
      </w:r>
    </w:p>
    <w:p>
      <w:pPr>
        <w:keepNext w:val="0"/>
        <w:keepLines w:val="0"/>
        <w:pageBreakBefore w:val="0"/>
        <w:widowControl w:val="0"/>
        <w:kinsoku/>
        <w:wordWrap/>
        <w:overflowPunct/>
        <w:topLinePunct w:val="0"/>
        <w:autoSpaceDN/>
        <w:bidi w:val="0"/>
        <w:adjustRightInd/>
        <w:snapToGrid/>
        <w:spacing w:line="50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4、连江县公安局交警大队要按照职责分工加强对事故多发路段主要路口，特别是事故路口的交通巡逻管控，组织事故多发路段的隐患排查，及时提出整改建议。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凤城镇人民政府要按照“党政同责、一岗双责”和“属地管理与分级管理相结合，以属地管理为主”的要求，落实属地管理责任，对本辖区定期组织道路交通安全隐患排查专项整治和隐患排查治理，及时消除安全隐患，防范事故发生。加大对非机动车辆驾驶人的法制宣传和道路交通劝导力度，有效保障人民生命财产安全、生活安全及交通的正常、有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备注：</w:t>
      </w:r>
    </w:p>
    <w:p>
      <w:pPr>
        <w:numPr>
          <w:ilvl w:val="0"/>
          <w:numId w:val="0"/>
        </w:num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[1]《中华人民共和国道路交通安全法实施条例》第三十八条第一款第三项  机动车信号灯和非机动车信号灯表示：（三）红灯亮时，禁止车辆通行。</w:t>
      </w:r>
    </w:p>
    <w:p>
      <w:pPr>
        <w:numPr>
          <w:ilvl w:val="0"/>
          <w:numId w:val="0"/>
        </w:num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[2]《中华人民共和国道路交通安全法》第二十二条第一款  机动车驾驶人应当遵守道路交通安全法律、法规的规定，按照操作规范安全驾驶、文明驾驶。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连江县凤城镇104国道与莲荷路交叉路口“5·20”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道路交通事故调查组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2024年6月6日</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C4BC3A-F969-4B98-8E14-CEE22B069F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ADC6AAA1-7EE0-447B-89B2-64CD7A59094A}"/>
  </w:font>
  <w:font w:name="仿宋_GB2312">
    <w:panose1 w:val="02010609030101010101"/>
    <w:charset w:val="86"/>
    <w:family w:val="modern"/>
    <w:pitch w:val="default"/>
    <w:sig w:usb0="00000001" w:usb1="080E0000" w:usb2="00000000" w:usb3="00000000" w:csb0="00040000" w:csb1="00000000"/>
    <w:embedRegular r:id="rId3" w:fontKey="{D9B03873-A7B7-4758-959E-30E2A7259D63}"/>
  </w:font>
  <w:font w:name="楷体_GB2312">
    <w:panose1 w:val="02010609030101010101"/>
    <w:charset w:val="86"/>
    <w:family w:val="modern"/>
    <w:pitch w:val="default"/>
    <w:sig w:usb0="00000001" w:usb1="080E0000" w:usb2="00000000" w:usb3="00000000" w:csb0="00040000" w:csb1="00000000"/>
    <w:embedRegular r:id="rId4" w:fontKey="{284EAB4A-7EFE-4D81-BFF2-A1067592E578}"/>
  </w:font>
  <w:font w:name="仿宋">
    <w:panose1 w:val="02010609060101010101"/>
    <w:charset w:val="86"/>
    <w:family w:val="modern"/>
    <w:pitch w:val="default"/>
    <w:sig w:usb0="800002BF" w:usb1="38CF7CFA" w:usb2="00000016" w:usb3="00000000" w:csb0="00040001" w:csb1="00000000"/>
    <w:embedRegular r:id="rId5" w:fontKey="{195D7EDF-F5FA-4E6B-B478-05B9F1150C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xZmIwYTMwMTg3M2EzZGNkMmIwNzA2YjgwZDFiODMifQ=="/>
  </w:docVars>
  <w:rsids>
    <w:rsidRoot w:val="5C1567F1"/>
    <w:rsid w:val="019A210C"/>
    <w:rsid w:val="031D5F92"/>
    <w:rsid w:val="034B430F"/>
    <w:rsid w:val="0377570C"/>
    <w:rsid w:val="0431264F"/>
    <w:rsid w:val="05B65F0A"/>
    <w:rsid w:val="0686422F"/>
    <w:rsid w:val="08B06900"/>
    <w:rsid w:val="09813E4D"/>
    <w:rsid w:val="0A3652C5"/>
    <w:rsid w:val="0B065FC2"/>
    <w:rsid w:val="0B3C22B2"/>
    <w:rsid w:val="0B8D4DA4"/>
    <w:rsid w:val="0BD13B0E"/>
    <w:rsid w:val="0C5319E7"/>
    <w:rsid w:val="0E55057D"/>
    <w:rsid w:val="10562898"/>
    <w:rsid w:val="10C8607A"/>
    <w:rsid w:val="10F02372"/>
    <w:rsid w:val="12A54BBF"/>
    <w:rsid w:val="12D23000"/>
    <w:rsid w:val="12D43D6B"/>
    <w:rsid w:val="12EE6B8A"/>
    <w:rsid w:val="13651379"/>
    <w:rsid w:val="138A103E"/>
    <w:rsid w:val="1392325D"/>
    <w:rsid w:val="15245D38"/>
    <w:rsid w:val="157C124F"/>
    <w:rsid w:val="167A18C1"/>
    <w:rsid w:val="17096078"/>
    <w:rsid w:val="172A66AC"/>
    <w:rsid w:val="178577B5"/>
    <w:rsid w:val="1A2467ED"/>
    <w:rsid w:val="1C0A3E95"/>
    <w:rsid w:val="1D7934EA"/>
    <w:rsid w:val="1E5B3387"/>
    <w:rsid w:val="1EB636DE"/>
    <w:rsid w:val="21746E74"/>
    <w:rsid w:val="21FD3028"/>
    <w:rsid w:val="22F30A66"/>
    <w:rsid w:val="23B73C21"/>
    <w:rsid w:val="240C14FE"/>
    <w:rsid w:val="241606FA"/>
    <w:rsid w:val="24621539"/>
    <w:rsid w:val="24AC7744"/>
    <w:rsid w:val="26A2472C"/>
    <w:rsid w:val="2874680A"/>
    <w:rsid w:val="28990C87"/>
    <w:rsid w:val="291C2401"/>
    <w:rsid w:val="29BF5862"/>
    <w:rsid w:val="2AE46958"/>
    <w:rsid w:val="2B4E55E4"/>
    <w:rsid w:val="2B696853"/>
    <w:rsid w:val="2BC6751E"/>
    <w:rsid w:val="2C5B1B16"/>
    <w:rsid w:val="2F645371"/>
    <w:rsid w:val="2F6E6A63"/>
    <w:rsid w:val="319A1F03"/>
    <w:rsid w:val="32835811"/>
    <w:rsid w:val="33783E17"/>
    <w:rsid w:val="34670FD0"/>
    <w:rsid w:val="353E4E8E"/>
    <w:rsid w:val="354F2C84"/>
    <w:rsid w:val="357339A3"/>
    <w:rsid w:val="361E0E67"/>
    <w:rsid w:val="374C074D"/>
    <w:rsid w:val="38237904"/>
    <w:rsid w:val="38563836"/>
    <w:rsid w:val="38EE0765"/>
    <w:rsid w:val="38FE1CBB"/>
    <w:rsid w:val="39870776"/>
    <w:rsid w:val="39BA7831"/>
    <w:rsid w:val="3DC903E2"/>
    <w:rsid w:val="3EE2425B"/>
    <w:rsid w:val="40364058"/>
    <w:rsid w:val="416B1814"/>
    <w:rsid w:val="416D426E"/>
    <w:rsid w:val="417F0FDE"/>
    <w:rsid w:val="42656518"/>
    <w:rsid w:val="428D254A"/>
    <w:rsid w:val="43EA7528"/>
    <w:rsid w:val="448434D9"/>
    <w:rsid w:val="45085CE5"/>
    <w:rsid w:val="457C4AF8"/>
    <w:rsid w:val="46324631"/>
    <w:rsid w:val="466024DB"/>
    <w:rsid w:val="47303E3F"/>
    <w:rsid w:val="47443C26"/>
    <w:rsid w:val="47CC7368"/>
    <w:rsid w:val="486674D3"/>
    <w:rsid w:val="497129F6"/>
    <w:rsid w:val="49B97544"/>
    <w:rsid w:val="49D56448"/>
    <w:rsid w:val="4A0F09E9"/>
    <w:rsid w:val="4A9D4746"/>
    <w:rsid w:val="4ABF496F"/>
    <w:rsid w:val="4EA12804"/>
    <w:rsid w:val="4F9C1409"/>
    <w:rsid w:val="4FDF3A0A"/>
    <w:rsid w:val="506B0F50"/>
    <w:rsid w:val="54AD5C6C"/>
    <w:rsid w:val="57B80E62"/>
    <w:rsid w:val="593E1BD9"/>
    <w:rsid w:val="59A74C15"/>
    <w:rsid w:val="59CF4D9E"/>
    <w:rsid w:val="59D03050"/>
    <w:rsid w:val="5A1B2B4E"/>
    <w:rsid w:val="5AC62C8A"/>
    <w:rsid w:val="5B163769"/>
    <w:rsid w:val="5B6E67EA"/>
    <w:rsid w:val="5C00799A"/>
    <w:rsid w:val="5C1567F1"/>
    <w:rsid w:val="5D8F563D"/>
    <w:rsid w:val="5DF248A7"/>
    <w:rsid w:val="5E4F3FA4"/>
    <w:rsid w:val="5EBE5EB2"/>
    <w:rsid w:val="5F3E0472"/>
    <w:rsid w:val="600A0901"/>
    <w:rsid w:val="60237B27"/>
    <w:rsid w:val="60636C2F"/>
    <w:rsid w:val="60667E43"/>
    <w:rsid w:val="60E60836"/>
    <w:rsid w:val="62BC0AAA"/>
    <w:rsid w:val="63340B4D"/>
    <w:rsid w:val="64133B98"/>
    <w:rsid w:val="64D86C6A"/>
    <w:rsid w:val="65F32AD2"/>
    <w:rsid w:val="66035AC4"/>
    <w:rsid w:val="662368A8"/>
    <w:rsid w:val="67357963"/>
    <w:rsid w:val="679300D1"/>
    <w:rsid w:val="67DB50B6"/>
    <w:rsid w:val="694C7ED2"/>
    <w:rsid w:val="6A924931"/>
    <w:rsid w:val="6AA569D0"/>
    <w:rsid w:val="6B826114"/>
    <w:rsid w:val="6BD149A6"/>
    <w:rsid w:val="6CCB6E90"/>
    <w:rsid w:val="6CDD536D"/>
    <w:rsid w:val="6EA81BCA"/>
    <w:rsid w:val="6EEE586F"/>
    <w:rsid w:val="6F012625"/>
    <w:rsid w:val="6F496BED"/>
    <w:rsid w:val="6FE56C72"/>
    <w:rsid w:val="710024AA"/>
    <w:rsid w:val="71817B64"/>
    <w:rsid w:val="718A47D6"/>
    <w:rsid w:val="73065CD8"/>
    <w:rsid w:val="73A26EDC"/>
    <w:rsid w:val="73AB5C61"/>
    <w:rsid w:val="73C678C5"/>
    <w:rsid w:val="73ED2A40"/>
    <w:rsid w:val="74E27999"/>
    <w:rsid w:val="75674082"/>
    <w:rsid w:val="76285465"/>
    <w:rsid w:val="766E686F"/>
    <w:rsid w:val="77326FBD"/>
    <w:rsid w:val="77395765"/>
    <w:rsid w:val="782C75A8"/>
    <w:rsid w:val="78715547"/>
    <w:rsid w:val="78CD57E3"/>
    <w:rsid w:val="79A13C0A"/>
    <w:rsid w:val="79FE214A"/>
    <w:rsid w:val="7A0803A7"/>
    <w:rsid w:val="7A7632E8"/>
    <w:rsid w:val="7B7052B9"/>
    <w:rsid w:val="7C505816"/>
    <w:rsid w:val="7FEA4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toc 3"/>
    <w:basedOn w:val="1"/>
    <w:next w:val="1"/>
    <w:autoRedefine/>
    <w:qFormat/>
    <w:uiPriority w:val="0"/>
    <w:pPr>
      <w:ind w:left="840" w:leftChars="400"/>
    </w:p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styleId="10">
    <w:name w:val="page number"/>
    <w:basedOn w:val="9"/>
    <w:autoRedefine/>
    <w:qFormat/>
    <w:uiPriority w:val="0"/>
  </w:style>
  <w:style w:type="paragraph" w:customStyle="1" w:styleId="11">
    <w:name w:val="0"/>
    <w:basedOn w:val="1"/>
    <w:autoRedefine/>
    <w:qFormat/>
    <w:uiPriority w:val="0"/>
    <w:pPr>
      <w:widowControl/>
      <w:snapToGrid w:val="0"/>
      <w:spacing w:line="365" w:lineRule="atLeast"/>
      <w:ind w:left="1"/>
    </w:pPr>
    <w:rPr>
      <w:kern w:val="0"/>
      <w:sz w:val="20"/>
      <w:szCs w:val="20"/>
    </w:rPr>
  </w:style>
  <w:style w:type="paragraph" w:customStyle="1" w:styleId="12">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4823</Words>
  <Characters>5398</Characters>
  <Lines>0</Lines>
  <Paragraphs>0</Paragraphs>
  <TotalTime>5</TotalTime>
  <ScaleCrop>false</ScaleCrop>
  <LinksUpToDate>false</LinksUpToDate>
  <CharactersWithSpaces>5466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2021-03-17T01:12:00Z</dcterms:created>
  <dc:creator>甜心</dc:creator>
  <cp:lastModifiedBy>甜心</cp:lastModifiedBy>
  <cp:lastPrinted>2024-06-07T08:09:00Z</cp:lastPrinted>
  <dcterms:modified xsi:type="dcterms:W3CDTF">2024-06-17T04:50:17Z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2AC1CD74516C41FF825F21C2A1D3B298_13</vt:lpwstr>
  </property>
</Properties>
</file>