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wordWrap/>
        <w:adjustRightInd/>
        <w:snapToGrid/>
        <w:spacing w:line="600" w:lineRule="exact"/>
        <w:jc w:val="center"/>
        <w:textAlignment w:val="auto"/>
        <w:outlineLvl w:val="9"/>
        <w:rPr>
          <w:rFonts w:hint="eastAsia" w:ascii="方正小标宋简体" w:hAnsi="方正小标宋简体" w:eastAsia="方正小标宋简体" w:cs="方正小标宋简体"/>
          <w:spacing w:val="0"/>
          <w:sz w:val="44"/>
          <w:szCs w:val="44"/>
          <w:lang w:val="en-US" w:eastAsia="zh-CN"/>
        </w:rPr>
      </w:pPr>
      <w:bookmarkStart w:id="0" w:name="_Toc19823"/>
    </w:p>
    <w:p>
      <w:pPr>
        <w:widowControl w:val="0"/>
        <w:wordWrap/>
        <w:adjustRightInd/>
        <w:snapToGrid/>
        <w:spacing w:line="600" w:lineRule="exact"/>
        <w:jc w:val="both"/>
        <w:textAlignment w:val="auto"/>
        <w:outlineLvl w:val="9"/>
        <w:rPr>
          <w:rFonts w:hint="eastAsia" w:ascii="方正小标宋简体" w:hAnsi="方正小标宋简体" w:eastAsia="方正小标宋简体" w:cs="方正小标宋简体"/>
          <w:spacing w:val="0"/>
          <w:sz w:val="44"/>
          <w:szCs w:val="44"/>
          <w:lang w:val="en-US" w:eastAsia="zh-CN"/>
        </w:rPr>
      </w:pPr>
    </w:p>
    <w:p>
      <w:pPr>
        <w:widowControl w:val="0"/>
        <w:wordWrap/>
        <w:adjustRightInd/>
        <w:snapToGrid/>
        <w:spacing w:line="600" w:lineRule="exact"/>
        <w:jc w:val="center"/>
        <w:textAlignment w:val="auto"/>
        <w:outlineLvl w:val="9"/>
        <w:rPr>
          <w:rFonts w:hint="eastAsia" w:ascii="方正小标宋简体" w:hAnsi="方正小标宋简体" w:eastAsia="方正小标宋简体" w:cs="方正小标宋简体"/>
          <w:spacing w:val="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0"/>
        <w:rPr>
          <w:rFonts w:hint="eastAsia" w:ascii="方正小标宋简体" w:hAnsi="方正小标宋简体" w:eastAsia="方正小标宋简体" w:cs="方正小标宋简体"/>
          <w:spacing w:val="0"/>
          <w:sz w:val="44"/>
          <w:szCs w:val="44"/>
          <w:lang w:val="en" w:eastAsia="zh-CN"/>
        </w:rPr>
      </w:pPr>
      <w:r>
        <w:rPr>
          <w:rFonts w:hint="eastAsia" w:ascii="方正小标宋简体" w:hAnsi="方正小标宋简体" w:eastAsia="方正小标宋简体" w:cs="方正小标宋简体"/>
          <w:spacing w:val="0"/>
          <w:sz w:val="44"/>
          <w:szCs w:val="44"/>
          <w:lang w:eastAsia="zh-CN"/>
        </w:rPr>
        <w:t>江山经济开发区浙江万里扬智能压铸有限公司“7·11”一般机械伤害事故调查报告</w:t>
      </w:r>
    </w:p>
    <w:p>
      <w:pPr>
        <w:rPr>
          <w:rFonts w:hint="eastAsia" w:ascii="方正小标宋简体" w:hAnsi="方正小标宋简体" w:eastAsia="方正小标宋简体" w:cs="方正小标宋简体"/>
          <w:spacing w:val="0"/>
          <w:sz w:val="44"/>
          <w:szCs w:val="44"/>
          <w:lang w:val="en-US" w:eastAsia="zh-CN"/>
        </w:rPr>
      </w:pPr>
    </w:p>
    <w:p>
      <w:pPr>
        <w:pStyle w:val="2"/>
        <w:outlineLvl w:val="9"/>
        <w:rPr>
          <w:rFonts w:hint="eastAsia" w:ascii="方正小标宋简体" w:hAnsi="方正小标宋简体" w:eastAsia="方正小标宋简体" w:cs="方正小标宋简体"/>
          <w:spacing w:val="0"/>
          <w:sz w:val="44"/>
          <w:szCs w:val="44"/>
          <w:lang w:val="en-US" w:eastAsia="zh-CN"/>
        </w:rPr>
      </w:pPr>
    </w:p>
    <w:p>
      <w:pPr>
        <w:rPr>
          <w:rFonts w:hint="eastAsia"/>
          <w:lang w:val="en-US" w:eastAsia="zh-CN"/>
        </w:rPr>
      </w:pPr>
    </w:p>
    <w:p>
      <w:pPr>
        <w:pStyle w:val="2"/>
        <w:outlineLvl w:val="9"/>
        <w:rPr>
          <w:rFonts w:hint="eastAsia"/>
          <w:lang w:val="en-US" w:eastAsia="zh-CN"/>
        </w:rPr>
      </w:pPr>
    </w:p>
    <w:p>
      <w:pPr>
        <w:pStyle w:val="2"/>
        <w:outlineLvl w:val="9"/>
        <w:rPr>
          <w:rFonts w:hint="eastAsia" w:ascii="方正小标宋简体" w:hAnsi="方正小标宋简体" w:eastAsia="方正小标宋简体" w:cs="方正小标宋简体"/>
          <w:spacing w:val="0"/>
          <w:sz w:val="44"/>
          <w:szCs w:val="44"/>
          <w:lang w:val="en-US" w:eastAsia="zh-CN"/>
        </w:rPr>
      </w:pPr>
    </w:p>
    <w:p>
      <w:pPr>
        <w:rPr>
          <w:rFonts w:hint="eastAsia" w:ascii="方正小标宋简体" w:hAnsi="方正小标宋简体" w:eastAsia="方正小标宋简体" w:cs="方正小标宋简体"/>
          <w:spacing w:val="0"/>
          <w:sz w:val="44"/>
          <w:szCs w:val="44"/>
          <w:lang w:val="en-US" w:eastAsia="zh-CN"/>
        </w:rPr>
      </w:pPr>
    </w:p>
    <w:p>
      <w:pPr>
        <w:rPr>
          <w:rFonts w:hint="eastAsia" w:ascii="方正小标宋简体" w:hAnsi="方正小标宋简体" w:eastAsia="方正小标宋简体" w:cs="方正小标宋简体"/>
          <w:spacing w:val="0"/>
          <w:sz w:val="44"/>
          <w:szCs w:val="44"/>
          <w:lang w:val="en-US" w:eastAsia="zh-CN"/>
        </w:rPr>
      </w:pPr>
    </w:p>
    <w:p>
      <w:pPr>
        <w:rPr>
          <w:rFonts w:hint="eastAsia"/>
          <w:lang w:val="en-US" w:eastAsia="zh-CN"/>
        </w:rPr>
      </w:pPr>
    </w:p>
    <w:p>
      <w:pPr>
        <w:rPr>
          <w:rFonts w:hint="eastAsia"/>
          <w:lang w:val="en-US" w:eastAsia="zh-CN"/>
        </w:rPr>
      </w:pPr>
    </w:p>
    <w:p>
      <w:pPr>
        <w:jc w:val="center"/>
        <w:outlineLvl w:val="0"/>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江山经济开发区浙江万里扬智能压铸有限公司“7·11”</w:t>
      </w:r>
    </w:p>
    <w:p>
      <w:pPr>
        <w:jc w:val="both"/>
        <w:outlineLvl w:val="0"/>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 xml:space="preserve">                 一般机械伤害事故调查组</w:t>
      </w:r>
    </w:p>
    <w:p>
      <w:pPr>
        <w:jc w:val="center"/>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202</w:t>
      </w:r>
      <w:r>
        <w:rPr>
          <w:rFonts w:hint="default" w:ascii="楷体" w:hAnsi="楷体" w:eastAsia="楷体" w:cs="楷体"/>
          <w:sz w:val="32"/>
          <w:szCs w:val="32"/>
          <w:lang w:val="en" w:eastAsia="zh-CN"/>
        </w:rPr>
        <w:t>5</w:t>
      </w:r>
      <w:r>
        <w:rPr>
          <w:rFonts w:hint="eastAsia" w:ascii="楷体" w:hAnsi="楷体" w:eastAsia="楷体" w:cs="楷体"/>
          <w:sz w:val="32"/>
          <w:szCs w:val="32"/>
          <w:lang w:val="en-US" w:eastAsia="zh-CN"/>
        </w:rPr>
        <w:t>年9月9日</w:t>
      </w:r>
    </w:p>
    <w:p>
      <w:pPr>
        <w:jc w:val="center"/>
        <w:sectPr>
          <w:footerReference r:id="rId4" w:type="default"/>
          <w:pgSz w:w="11906" w:h="16838"/>
          <w:pgMar w:top="2098" w:right="1474" w:bottom="1984" w:left="1587" w:header="851" w:footer="992" w:gutter="0"/>
          <w:cols w:space="720" w:num="1"/>
          <w:docGrid w:type="lines" w:linePitch="312" w:charSpace="0"/>
        </w:sectPr>
      </w:pPr>
    </w:p>
    <w:p>
      <w:pPr>
        <w:wordWrap/>
        <w:adjustRightInd/>
        <w:snapToGrid/>
        <w:spacing w:line="360" w:lineRule="auto"/>
        <w:jc w:val="center"/>
        <w:textAlignment w:val="auto"/>
        <w:rPr>
          <w:rFonts w:hint="eastAsia" w:ascii="宋体" w:hAnsi="宋体" w:eastAsia="宋体" w:cs="黑体"/>
          <w:b/>
          <w:bCs/>
          <w:kern w:val="2"/>
          <w:sz w:val="32"/>
          <w:szCs w:val="32"/>
          <w:lang w:val="en-US" w:eastAsia="zh-CN" w:bidi="ar-SA"/>
        </w:rPr>
      </w:pPr>
      <w:r>
        <w:rPr>
          <w:rFonts w:hint="eastAsia" w:ascii="宋体" w:hAnsi="宋体" w:eastAsia="宋体" w:cs="黑体"/>
          <w:b/>
          <w:bCs/>
          <w:kern w:val="2"/>
          <w:sz w:val="32"/>
          <w:szCs w:val="32"/>
          <w:lang w:val="en-US" w:eastAsia="zh-CN" w:bidi="ar-SA"/>
        </w:rPr>
        <w:t>目   录</w:t>
      </w:r>
    </w:p>
    <w:p>
      <w:pPr>
        <w:widowControl w:val="0"/>
        <w:numPr>
          <w:ilvl w:val="0"/>
          <w:numId w:val="0"/>
        </w:numPr>
        <w:wordWrap/>
        <w:adjustRightInd/>
        <w:snapToGrid/>
        <w:spacing w:line="480" w:lineRule="auto"/>
        <w:jc w:val="both"/>
        <w:textAlignment w:val="auto"/>
        <w:outlineLvl w:val="0"/>
        <w:rPr>
          <w:rFonts w:hint="default"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一、事故基本情况 ………………………………………………………………………  1</w:t>
      </w:r>
    </w:p>
    <w:p>
      <w:pPr>
        <w:widowControl w:val="0"/>
        <w:numPr>
          <w:ilvl w:val="0"/>
          <w:numId w:val="0"/>
        </w:numPr>
        <w:wordWrap/>
        <w:adjustRightInd/>
        <w:snapToGrid/>
        <w:spacing w:line="480" w:lineRule="auto"/>
        <w:ind w:left="559" w:leftChars="266" w:firstLine="0" w:firstLineChars="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（一）事故相关单位情况………………………</w:t>
      </w:r>
      <w:r>
        <w:rPr>
          <w:rFonts w:hint="eastAsia" w:ascii="黑体" w:hAnsi="黑体" w:eastAsia="黑体" w:cs="黑体"/>
          <w:b w:val="0"/>
          <w:bCs w:val="0"/>
          <w:sz w:val="24"/>
          <w:szCs w:val="24"/>
          <w:lang w:val="en-US" w:eastAsia="zh-CN"/>
        </w:rPr>
        <w:t>………………</w:t>
      </w:r>
      <w:r>
        <w:rPr>
          <w:rFonts w:hint="eastAsia" w:ascii="宋体" w:hAnsi="宋体" w:eastAsia="宋体" w:cs="宋体"/>
          <w:b w:val="0"/>
          <w:bCs w:val="0"/>
          <w:sz w:val="24"/>
          <w:szCs w:val="24"/>
          <w:lang w:val="en-US" w:eastAsia="zh-CN"/>
        </w:rPr>
        <w:t>……………………1</w:t>
      </w:r>
    </w:p>
    <w:p>
      <w:pPr>
        <w:widowControl w:val="0"/>
        <w:numPr>
          <w:ilvl w:val="0"/>
          <w:numId w:val="0"/>
        </w:numPr>
        <w:wordWrap/>
        <w:adjustRightInd/>
        <w:snapToGrid/>
        <w:spacing w:line="480" w:lineRule="auto"/>
        <w:ind w:left="559" w:leftChars="266" w:firstLine="0" w:firstLineChars="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（二）事故相关人员情况……………………………………………………………2</w:t>
      </w:r>
    </w:p>
    <w:p>
      <w:pPr>
        <w:widowControl w:val="0"/>
        <w:numPr>
          <w:ilvl w:val="0"/>
          <w:numId w:val="0"/>
        </w:numPr>
        <w:wordWrap/>
        <w:adjustRightInd/>
        <w:snapToGrid/>
        <w:spacing w:line="480" w:lineRule="auto"/>
        <w:ind w:left="559" w:leftChars="266" w:firstLine="0" w:firstLineChars="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（三）</w:t>
      </w:r>
      <w:r>
        <w:rPr>
          <w:rFonts w:hint="eastAsia" w:ascii="宋体" w:hAnsi="宋体" w:cs="宋体"/>
          <w:b w:val="0"/>
          <w:bCs w:val="0"/>
          <w:sz w:val="24"/>
          <w:szCs w:val="24"/>
          <w:lang w:val="en-US" w:eastAsia="zh-CN"/>
        </w:rPr>
        <w:t>涉事设备基本信息</w:t>
      </w:r>
      <w:r>
        <w:rPr>
          <w:rFonts w:hint="eastAsia" w:ascii="宋体" w:hAnsi="宋体" w:eastAsia="宋体" w:cs="宋体"/>
          <w:b w:val="0"/>
          <w:bCs w:val="0"/>
          <w:sz w:val="24"/>
          <w:szCs w:val="24"/>
          <w:lang w:val="en-US" w:eastAsia="zh-CN"/>
        </w:rPr>
        <w:t>……………………………………………………………3</w:t>
      </w:r>
    </w:p>
    <w:p>
      <w:pPr>
        <w:widowControl w:val="0"/>
        <w:numPr>
          <w:ilvl w:val="0"/>
          <w:numId w:val="0"/>
        </w:numPr>
        <w:wordWrap/>
        <w:adjustRightInd/>
        <w:snapToGrid/>
        <w:spacing w:line="480" w:lineRule="auto"/>
        <w:ind w:left="559" w:leftChars="266" w:firstLine="0" w:firstLineChars="0"/>
        <w:jc w:val="both"/>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（四）现场检查勘验情况……………………………………………………………4</w:t>
      </w:r>
    </w:p>
    <w:p>
      <w:pPr>
        <w:widowControl w:val="0"/>
        <w:numPr>
          <w:ilvl w:val="0"/>
          <w:numId w:val="0"/>
        </w:numPr>
        <w:wordWrap/>
        <w:adjustRightInd/>
        <w:snapToGrid/>
        <w:spacing w:line="480" w:lineRule="auto"/>
        <w:jc w:val="both"/>
        <w:textAlignment w:val="auto"/>
        <w:outlineLvl w:val="0"/>
        <w:rPr>
          <w:rFonts w:hint="default"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二、事故发生经过和事故救援情况</w:t>
      </w:r>
      <w:r>
        <w:rPr>
          <w:rFonts w:hint="default" w:ascii="黑体" w:hAnsi="黑体" w:eastAsia="黑体" w:cs="黑体"/>
          <w:b w:val="0"/>
          <w:bCs w:val="0"/>
          <w:sz w:val="24"/>
          <w:szCs w:val="24"/>
          <w:lang w:val="en-US" w:eastAsia="zh-CN"/>
        </w:rPr>
        <w:t>……………………</w:t>
      </w:r>
      <w:r>
        <w:rPr>
          <w:rFonts w:hint="eastAsia" w:ascii="黑体" w:hAnsi="黑体" w:eastAsia="黑体" w:cs="黑体"/>
          <w:b w:val="0"/>
          <w:bCs w:val="0"/>
          <w:sz w:val="24"/>
          <w:szCs w:val="24"/>
          <w:lang w:val="en-US" w:eastAsia="zh-CN"/>
        </w:rPr>
        <w:t>……………</w:t>
      </w:r>
      <w:r>
        <w:rPr>
          <w:rFonts w:hint="default" w:ascii="黑体" w:hAnsi="黑体" w:eastAsia="黑体" w:cs="黑体"/>
          <w:b w:val="0"/>
          <w:bCs w:val="0"/>
          <w:sz w:val="24"/>
          <w:szCs w:val="24"/>
          <w:lang w:val="en-US" w:eastAsia="zh-CN"/>
        </w:rPr>
        <w:t>……………………</w:t>
      </w:r>
      <w:r>
        <w:rPr>
          <w:rFonts w:hint="eastAsia" w:ascii="黑体" w:hAnsi="黑体" w:eastAsia="黑体" w:cs="黑体"/>
          <w:b w:val="0"/>
          <w:bCs w:val="0"/>
          <w:sz w:val="24"/>
          <w:szCs w:val="24"/>
          <w:lang w:val="en-US" w:eastAsia="zh-CN"/>
        </w:rPr>
        <w:t xml:space="preserve"> 4</w:t>
      </w:r>
    </w:p>
    <w:p>
      <w:pPr>
        <w:wordWrap/>
        <w:adjustRightInd/>
        <w:snapToGrid/>
        <w:spacing w:line="480" w:lineRule="auto"/>
        <w:ind w:firstLine="480" w:firstLineChars="200"/>
        <w:jc w:val="both"/>
        <w:textAlignment w:val="auto"/>
        <w:rPr>
          <w:rFonts w:hint="eastAsia" w:ascii="宋体" w:hAnsi="宋体" w:eastAsia="宋体" w:cs="宋体"/>
          <w:b w:val="0"/>
          <w:bCs w:val="0"/>
          <w:sz w:val="24"/>
          <w:szCs w:val="24"/>
          <w:lang w:val="en-US"/>
        </w:rPr>
      </w:pPr>
      <w:r>
        <w:rPr>
          <w:rFonts w:hint="eastAsia" w:ascii="宋体" w:hAnsi="宋体" w:eastAsia="宋体" w:cs="宋体"/>
          <w:b w:val="0"/>
          <w:bCs w:val="0"/>
          <w:sz w:val="24"/>
          <w:szCs w:val="24"/>
          <w:lang w:val="en-US" w:eastAsia="zh-CN"/>
        </w:rPr>
        <w:t>（一）事故发生经过</w:t>
      </w:r>
      <w:r>
        <w:rPr>
          <w:rFonts w:hint="eastAsia" w:ascii="宋体" w:hAnsi="宋体" w:cs="宋体"/>
          <w:b w:val="0"/>
          <w:bCs w:val="0"/>
          <w:sz w:val="24"/>
          <w:szCs w:val="24"/>
          <w:lang w:val="en-US" w:eastAsia="zh-CN"/>
        </w:rPr>
        <w:t xml:space="preserve"> </w:t>
      </w:r>
      <w:r>
        <w:rPr>
          <w:rFonts w:hint="default" w:ascii="宋体" w:hAnsi="宋体" w:eastAsia="宋体" w:cs="宋体"/>
          <w:b w:val="0"/>
          <w:bCs w:val="0"/>
          <w:sz w:val="24"/>
          <w:szCs w:val="24"/>
          <w:lang w:val="en-US" w:eastAsia="zh-CN"/>
        </w:rPr>
        <w:t>…………………………………………………………………</w:t>
      </w:r>
      <w:r>
        <w:rPr>
          <w:rFonts w:hint="eastAsia" w:ascii="Arial" w:hAnsi="Arial" w:eastAsia="黑体" w:cs="Arial"/>
          <w:b w:val="0"/>
          <w:bCs w:val="0"/>
          <w:sz w:val="24"/>
          <w:szCs w:val="24"/>
          <w:lang w:val="en-US" w:eastAsia="zh-CN"/>
        </w:rPr>
        <w:t xml:space="preserve"> </w:t>
      </w:r>
      <w:r>
        <w:rPr>
          <w:rFonts w:hint="eastAsia" w:ascii="宋体" w:hAnsi="宋体" w:cs="宋体"/>
          <w:b w:val="0"/>
          <w:bCs w:val="0"/>
          <w:sz w:val="24"/>
          <w:szCs w:val="24"/>
          <w:lang w:val="en-US" w:eastAsia="zh-CN"/>
        </w:rPr>
        <w:t>4</w:t>
      </w:r>
    </w:p>
    <w:p>
      <w:pPr>
        <w:widowControl w:val="0"/>
        <w:numPr>
          <w:ilvl w:val="0"/>
          <w:numId w:val="0"/>
        </w:numPr>
        <w:wordWrap/>
        <w:adjustRightInd/>
        <w:snapToGrid/>
        <w:spacing w:line="480" w:lineRule="auto"/>
        <w:ind w:firstLine="480" w:firstLineChars="200"/>
        <w:jc w:val="both"/>
        <w:textAlignment w:val="auto"/>
        <w:rPr>
          <w:rFonts w:hint="default" w:ascii="仿宋_GB2312" w:hAnsi="仿宋_GB2312" w:eastAsia="仿宋_GB2312" w:cs="仿宋_GB2312"/>
          <w:b w:val="0"/>
          <w:bCs w:val="0"/>
          <w:sz w:val="24"/>
          <w:szCs w:val="24"/>
          <w:lang w:val="en-US" w:eastAsia="zh-CN"/>
        </w:rPr>
      </w:pPr>
      <w:r>
        <w:rPr>
          <w:rFonts w:hint="eastAsia" w:ascii="宋体" w:hAnsi="宋体" w:eastAsia="宋体" w:cs="宋体"/>
          <w:b w:val="0"/>
          <w:bCs w:val="0"/>
          <w:sz w:val="24"/>
          <w:szCs w:val="24"/>
          <w:lang w:val="en-US" w:eastAsia="zh-CN"/>
        </w:rPr>
        <w:t xml:space="preserve">（二）现场救援处置情况…………………………………………………………… </w:t>
      </w:r>
      <w:r>
        <w:rPr>
          <w:rFonts w:hint="eastAsia" w:ascii="宋体" w:hAnsi="宋体" w:cs="宋体"/>
          <w:b w:val="0"/>
          <w:bCs w:val="0"/>
          <w:sz w:val="24"/>
          <w:szCs w:val="24"/>
          <w:lang w:val="en-US" w:eastAsia="zh-CN"/>
        </w:rPr>
        <w:t>5</w:t>
      </w:r>
    </w:p>
    <w:p>
      <w:pPr>
        <w:widowControl w:val="0"/>
        <w:numPr>
          <w:ilvl w:val="0"/>
          <w:numId w:val="0"/>
        </w:numPr>
        <w:wordWrap/>
        <w:adjustRightInd/>
        <w:snapToGrid/>
        <w:spacing w:line="480" w:lineRule="auto"/>
        <w:jc w:val="both"/>
        <w:textAlignment w:val="auto"/>
        <w:outlineLvl w:val="0"/>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三、事故发生的原因及性质分析</w:t>
      </w:r>
      <w:r>
        <w:rPr>
          <w:rFonts w:hint="default" w:ascii="黑体" w:hAnsi="黑体" w:eastAsia="黑体" w:cs="黑体"/>
          <w:b w:val="0"/>
          <w:bCs w:val="0"/>
          <w:sz w:val="24"/>
          <w:szCs w:val="24"/>
          <w:lang w:val="en-US" w:eastAsia="zh-CN"/>
        </w:rPr>
        <w:t>…………………………………………………………</w:t>
      </w:r>
      <w:r>
        <w:rPr>
          <w:rFonts w:hint="eastAsia" w:ascii="黑体" w:hAnsi="黑体" w:eastAsia="黑体" w:cs="黑体"/>
          <w:b w:val="0"/>
          <w:bCs w:val="0"/>
          <w:sz w:val="24"/>
          <w:szCs w:val="24"/>
          <w:lang w:val="en-US" w:eastAsia="zh-CN"/>
        </w:rPr>
        <w:t xml:space="preserve"> 5</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559" w:leftChars="266" w:firstLine="0" w:firstLineChars="0"/>
        <w:jc w:val="both"/>
        <w:textAlignment w:val="auto"/>
        <w:rPr>
          <w:rFonts w:hint="default" w:asciiTheme="majorEastAsia" w:hAnsiTheme="majorEastAsia" w:eastAsiaTheme="majorEastAsia" w:cstheme="majorEastAsia"/>
          <w:b w:val="0"/>
          <w:bCs w:val="0"/>
          <w:sz w:val="24"/>
          <w:szCs w:val="24"/>
          <w:lang w:val="en" w:eastAsia="zh-CN"/>
        </w:rPr>
      </w:pPr>
      <w:r>
        <w:rPr>
          <w:rFonts w:hint="eastAsia" w:asciiTheme="majorEastAsia" w:hAnsiTheme="majorEastAsia" w:eastAsiaTheme="majorEastAsia" w:cstheme="majorEastAsia"/>
          <w:b w:val="0"/>
          <w:bCs w:val="0"/>
          <w:sz w:val="24"/>
          <w:szCs w:val="24"/>
          <w:lang w:val="en-US" w:eastAsia="zh-CN"/>
        </w:rPr>
        <w:t>（一）直接原因</w:t>
      </w:r>
      <w:r>
        <w:rPr>
          <w:rFonts w:hint="default" w:asciiTheme="majorEastAsia" w:hAnsiTheme="majorEastAsia" w:eastAsiaTheme="majorEastAsia" w:cstheme="majorEastAsia"/>
          <w:b w:val="0"/>
          <w:bCs w:val="0"/>
          <w:sz w:val="24"/>
          <w:szCs w:val="24"/>
          <w:lang w:val="en-US" w:eastAsia="zh-CN"/>
        </w:rPr>
        <w:t>………………………………………………………………………</w:t>
      </w:r>
      <w:r>
        <w:rPr>
          <w:rFonts w:hint="eastAsia" w:asciiTheme="majorEastAsia" w:hAnsiTheme="majorEastAsia" w:eastAsiaTheme="majorEastAsia" w:cstheme="majorEastAsia"/>
          <w:b w:val="0"/>
          <w:bCs w:val="0"/>
          <w:sz w:val="24"/>
          <w:szCs w:val="24"/>
          <w:lang w:val="en-US" w:eastAsia="zh-CN"/>
        </w:rPr>
        <w:t>6</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559" w:leftChars="266" w:firstLine="0" w:firstLineChars="0"/>
        <w:jc w:val="both"/>
        <w:textAlignment w:val="auto"/>
        <w:rPr>
          <w:rFonts w:hint="default" w:asciiTheme="majorEastAsia" w:hAnsiTheme="majorEastAsia" w:eastAsiaTheme="majorEastAsia" w:cstheme="majorEastAsia"/>
          <w:b w:val="0"/>
          <w:bCs w:val="0"/>
          <w:sz w:val="24"/>
          <w:szCs w:val="24"/>
          <w:lang w:val="en" w:eastAsia="zh-CN"/>
        </w:rPr>
      </w:pPr>
      <w:r>
        <w:rPr>
          <w:rFonts w:hint="eastAsia" w:asciiTheme="majorEastAsia" w:hAnsiTheme="majorEastAsia" w:eastAsiaTheme="majorEastAsia" w:cstheme="majorEastAsia"/>
          <w:b w:val="0"/>
          <w:bCs w:val="0"/>
          <w:sz w:val="24"/>
          <w:szCs w:val="24"/>
          <w:lang w:val="en-US" w:eastAsia="zh-CN"/>
        </w:rPr>
        <w:t>（二）事故暴露出的问题</w:t>
      </w:r>
      <w:r>
        <w:rPr>
          <w:rFonts w:hint="default" w:asciiTheme="majorEastAsia" w:hAnsiTheme="majorEastAsia" w:eastAsiaTheme="majorEastAsia" w:cstheme="majorEastAsia"/>
          <w:b w:val="0"/>
          <w:bCs w:val="0"/>
          <w:sz w:val="24"/>
          <w:szCs w:val="24"/>
          <w:lang w:val="en-US" w:eastAsia="zh-CN"/>
        </w:rPr>
        <w:t>……………………………………………………………</w:t>
      </w:r>
      <w:r>
        <w:rPr>
          <w:rFonts w:hint="eastAsia" w:asciiTheme="majorEastAsia" w:hAnsiTheme="majorEastAsia" w:eastAsiaTheme="majorEastAsia" w:cstheme="majorEastAsia"/>
          <w:b w:val="0"/>
          <w:bCs w:val="0"/>
          <w:sz w:val="24"/>
          <w:szCs w:val="24"/>
          <w:lang w:val="en-US" w:eastAsia="zh-CN"/>
        </w:rPr>
        <w:t>6</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559" w:leftChars="266" w:firstLine="0" w:firstLineChars="0"/>
        <w:jc w:val="both"/>
        <w:textAlignment w:val="auto"/>
        <w:rPr>
          <w:rFonts w:hint="default" w:ascii="黑体" w:hAnsi="黑体" w:eastAsia="黑体" w:cs="黑体"/>
          <w:b w:val="0"/>
          <w:bCs w:val="0"/>
          <w:sz w:val="24"/>
          <w:szCs w:val="24"/>
          <w:lang w:val="en-US" w:eastAsia="zh-CN"/>
        </w:rPr>
      </w:pPr>
      <w:r>
        <w:rPr>
          <w:rFonts w:hint="eastAsia" w:asciiTheme="majorEastAsia" w:hAnsiTheme="majorEastAsia" w:eastAsiaTheme="majorEastAsia" w:cstheme="majorEastAsia"/>
          <w:b w:val="0"/>
          <w:bCs w:val="0"/>
          <w:sz w:val="24"/>
          <w:szCs w:val="24"/>
          <w:lang w:val="en-US" w:eastAsia="zh-CN"/>
        </w:rPr>
        <w:t>（三）事故性质</w:t>
      </w:r>
      <w:r>
        <w:rPr>
          <w:rFonts w:hint="default" w:asciiTheme="majorEastAsia" w:hAnsiTheme="majorEastAsia" w:eastAsiaTheme="majorEastAsia" w:cstheme="majorEastAsia"/>
          <w:b w:val="0"/>
          <w:bCs w:val="0"/>
          <w:sz w:val="24"/>
          <w:szCs w:val="24"/>
          <w:lang w:val="en-US" w:eastAsia="zh-CN"/>
        </w:rPr>
        <w:t>………………………………………………………………………</w:t>
      </w:r>
      <w:r>
        <w:rPr>
          <w:rFonts w:hint="eastAsia" w:asciiTheme="majorEastAsia" w:hAnsiTheme="majorEastAsia" w:eastAsiaTheme="majorEastAsia" w:cstheme="majorEastAsia"/>
          <w:b w:val="0"/>
          <w:bCs w:val="0"/>
          <w:sz w:val="24"/>
          <w:szCs w:val="24"/>
          <w:lang w:val="en-US" w:eastAsia="zh-CN"/>
        </w:rPr>
        <w:t>6</w:t>
      </w:r>
    </w:p>
    <w:p>
      <w:pPr>
        <w:widowControl w:val="0"/>
        <w:numPr>
          <w:ilvl w:val="0"/>
          <w:numId w:val="0"/>
        </w:numPr>
        <w:wordWrap/>
        <w:adjustRightInd/>
        <w:snapToGrid/>
        <w:spacing w:line="480" w:lineRule="auto"/>
        <w:jc w:val="both"/>
        <w:textAlignment w:val="auto"/>
        <w:outlineLvl w:val="0"/>
        <w:rPr>
          <w:rFonts w:hint="default"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 xml:space="preserve">四、相关问题及处理建议 </w:t>
      </w:r>
      <w:r>
        <w:rPr>
          <w:rFonts w:hint="default" w:ascii="黑体" w:hAnsi="黑体" w:eastAsia="黑体" w:cs="黑体"/>
          <w:b w:val="0"/>
          <w:bCs w:val="0"/>
          <w:sz w:val="24"/>
          <w:szCs w:val="24"/>
          <w:lang w:val="en-US" w:eastAsia="zh-CN"/>
        </w:rPr>
        <w:t>…………………………………………………………………</w:t>
      </w:r>
      <w:r>
        <w:rPr>
          <w:rFonts w:hint="eastAsia" w:ascii="黑体" w:hAnsi="黑体" w:eastAsia="黑体" w:cs="黑体"/>
          <w:b w:val="0"/>
          <w:bCs w:val="0"/>
          <w:sz w:val="24"/>
          <w:szCs w:val="24"/>
          <w:lang w:val="en-US" w:eastAsia="zh-CN"/>
        </w:rPr>
        <w:t>6</w:t>
      </w:r>
    </w:p>
    <w:p>
      <w:pPr>
        <w:widowControl w:val="0"/>
        <w:numPr>
          <w:ilvl w:val="0"/>
          <w:numId w:val="0"/>
        </w:numPr>
        <w:wordWrap/>
        <w:adjustRightInd/>
        <w:snapToGrid/>
        <w:spacing w:line="480" w:lineRule="auto"/>
        <w:ind w:firstLine="480" w:firstLineChars="200"/>
        <w:jc w:val="both"/>
        <w:textAlignment w:val="auto"/>
        <w:outlineLvl w:val="9"/>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（一）建议免于追究责任人员</w:t>
      </w:r>
      <w:r>
        <w:rPr>
          <w:rFonts w:hint="default" w:ascii="宋体" w:hAnsi="宋体" w:eastAsia="宋体" w:cs="宋体"/>
          <w:b w:val="0"/>
          <w:bCs w:val="0"/>
          <w:sz w:val="24"/>
          <w:szCs w:val="24"/>
          <w:lang w:val="en-US" w:eastAsia="zh-CN"/>
        </w:rPr>
        <w:t>………………………………………………………</w:t>
      </w:r>
      <w:r>
        <w:rPr>
          <w:rFonts w:hint="eastAsia" w:ascii="Arial" w:hAnsi="Arial" w:eastAsia="黑体" w:cs="Arial"/>
          <w:b w:val="0"/>
          <w:bCs w:val="0"/>
          <w:sz w:val="24"/>
          <w:szCs w:val="24"/>
          <w:lang w:val="en-US" w:eastAsia="zh-CN"/>
        </w:rPr>
        <w:t xml:space="preserve"> </w:t>
      </w:r>
      <w:r>
        <w:rPr>
          <w:rFonts w:hint="eastAsia" w:ascii="宋体" w:hAnsi="宋体" w:cs="宋体"/>
          <w:b w:val="0"/>
          <w:bCs w:val="0"/>
          <w:sz w:val="24"/>
          <w:szCs w:val="24"/>
          <w:lang w:val="en-US" w:eastAsia="zh-CN"/>
        </w:rPr>
        <w:t>6</w:t>
      </w:r>
    </w:p>
    <w:p>
      <w:pPr>
        <w:wordWrap/>
        <w:adjustRightInd/>
        <w:snapToGrid/>
        <w:spacing w:line="480" w:lineRule="auto"/>
        <w:ind w:firstLine="480" w:firstLineChars="200"/>
        <w:jc w:val="both"/>
        <w:textAlignment w:val="auto"/>
        <w:rPr>
          <w:rFonts w:hint="eastAsia" w:ascii="宋体" w:hAnsi="宋体" w:eastAsia="宋体" w:cs="宋体"/>
          <w:b w:val="0"/>
          <w:bCs w:val="0"/>
          <w:sz w:val="24"/>
          <w:szCs w:val="24"/>
          <w:lang w:val="en-US"/>
        </w:rPr>
      </w:pPr>
      <w:r>
        <w:rPr>
          <w:rFonts w:hint="eastAsia" w:ascii="宋体" w:hAnsi="宋体" w:eastAsia="宋体" w:cs="宋体"/>
          <w:b w:val="0"/>
          <w:bCs w:val="0"/>
          <w:color w:val="auto"/>
          <w:sz w:val="24"/>
          <w:szCs w:val="24"/>
          <w:lang w:val="en-US" w:eastAsia="zh-CN"/>
        </w:rPr>
        <w:t>（</w:t>
      </w:r>
      <w:r>
        <w:rPr>
          <w:rFonts w:hint="eastAsia" w:ascii="宋体" w:hAnsi="宋体" w:cs="宋体"/>
          <w:b w:val="0"/>
          <w:bCs w:val="0"/>
          <w:color w:val="auto"/>
          <w:sz w:val="24"/>
          <w:szCs w:val="24"/>
          <w:lang w:val="en-US" w:eastAsia="zh-CN"/>
        </w:rPr>
        <w:t>二</w:t>
      </w:r>
      <w:r>
        <w:rPr>
          <w:rFonts w:hint="eastAsia" w:ascii="宋体" w:hAnsi="宋体" w:eastAsia="宋体" w:cs="宋体"/>
          <w:b w:val="0"/>
          <w:bCs w:val="0"/>
          <w:color w:val="auto"/>
          <w:sz w:val="24"/>
          <w:szCs w:val="24"/>
          <w:lang w:val="en-US" w:eastAsia="zh-CN"/>
        </w:rPr>
        <w:t>）建议给予行政处罚的单位和个人</w:t>
      </w:r>
      <w:r>
        <w:rPr>
          <w:rFonts w:hint="eastAsia" w:ascii="宋体" w:hAnsi="宋体" w:cs="宋体"/>
          <w:b w:val="0"/>
          <w:bCs w:val="0"/>
          <w:color w:val="auto"/>
          <w:sz w:val="24"/>
          <w:szCs w:val="24"/>
          <w:lang w:val="en-US" w:eastAsia="zh-CN"/>
        </w:rPr>
        <w:t xml:space="preserve"> </w:t>
      </w:r>
      <w:r>
        <w:rPr>
          <w:rFonts w:hint="eastAsia" w:ascii="宋体" w:hAnsi="宋体" w:eastAsia="宋体" w:cs="宋体"/>
          <w:b w:val="0"/>
          <w:bCs w:val="0"/>
          <w:sz w:val="24"/>
          <w:szCs w:val="24"/>
          <w:lang w:val="en-US" w:eastAsia="zh-CN"/>
        </w:rPr>
        <w:t>……………………………………………</w:t>
      </w:r>
      <w:r>
        <w:rPr>
          <w:rFonts w:hint="eastAsia" w:ascii="宋体" w:hAnsi="宋体" w:cs="宋体"/>
          <w:b w:val="0"/>
          <w:bCs w:val="0"/>
          <w:sz w:val="24"/>
          <w:szCs w:val="24"/>
          <w:lang w:val="en-US" w:eastAsia="zh-CN"/>
        </w:rPr>
        <w:t>7</w:t>
      </w:r>
    </w:p>
    <w:p>
      <w:pPr>
        <w:widowControl w:val="0"/>
        <w:numPr>
          <w:ilvl w:val="0"/>
          <w:numId w:val="0"/>
        </w:numPr>
        <w:wordWrap/>
        <w:adjustRightInd/>
        <w:snapToGrid/>
        <w:spacing w:line="480" w:lineRule="auto"/>
        <w:jc w:val="both"/>
        <w:textAlignment w:val="auto"/>
        <w:outlineLvl w:val="0"/>
        <w:rPr>
          <w:rFonts w:hint="default"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五、事故整改和防范措施</w:t>
      </w:r>
      <w:r>
        <w:rPr>
          <w:rFonts w:hint="default" w:ascii="黑体" w:hAnsi="黑体" w:eastAsia="黑体" w:cs="黑体"/>
          <w:b w:val="0"/>
          <w:bCs w:val="0"/>
          <w:sz w:val="24"/>
          <w:szCs w:val="24"/>
          <w:lang w:val="en-US" w:eastAsia="zh-CN"/>
        </w:rPr>
        <w:t>…………………………………………………………………</w:t>
      </w:r>
      <w:r>
        <w:rPr>
          <w:rFonts w:hint="eastAsia" w:ascii="黑体" w:hAnsi="黑体" w:eastAsia="黑体" w:cs="黑体"/>
          <w:b w:val="0"/>
          <w:bCs w:val="0"/>
          <w:sz w:val="24"/>
          <w:szCs w:val="24"/>
          <w:lang w:val="en-US" w:eastAsia="zh-CN"/>
        </w:rPr>
        <w:t xml:space="preserve"> 8</w:t>
      </w:r>
    </w:p>
    <w:p>
      <w:pPr>
        <w:wordWrap/>
        <w:adjustRightInd/>
        <w:snapToGrid/>
        <w:spacing w:line="480" w:lineRule="auto"/>
        <w:jc w:val="both"/>
        <w:textAlignment w:val="auto"/>
        <w:sectPr>
          <w:footerReference r:id="rId5" w:type="default"/>
          <w:pgSz w:w="11906" w:h="16838"/>
          <w:pgMar w:top="2098" w:right="1474" w:bottom="1984" w:left="1587" w:header="851" w:footer="992" w:gutter="0"/>
          <w:pgNumType w:start="1"/>
          <w:cols w:space="720" w:num="1"/>
          <w:docGrid w:type="lines" w:linePitch="312" w:charSpace="0"/>
        </w:sectPr>
      </w:pPr>
      <w:r>
        <w:rPr>
          <w:rFonts w:hint="eastAsia" w:ascii="黑体" w:hAnsi="黑体" w:eastAsia="黑体" w:cs="黑体"/>
          <w:b w:val="0"/>
          <w:bCs w:val="0"/>
          <w:sz w:val="24"/>
          <w:szCs w:val="24"/>
          <w:lang w:val="en-US" w:eastAsia="zh-CN"/>
        </w:rPr>
        <w:t>六、调查组成员签名</w:t>
      </w:r>
      <w:r>
        <w:rPr>
          <w:rFonts w:hint="default" w:ascii="黑体" w:hAnsi="黑体" w:eastAsia="黑体" w:cs="黑体"/>
          <w:b w:val="0"/>
          <w:bCs w:val="0"/>
          <w:sz w:val="24"/>
          <w:szCs w:val="24"/>
          <w:lang w:val="en-US" w:eastAsia="zh-CN"/>
        </w:rPr>
        <w:t>………………………………………………………………………</w:t>
      </w:r>
      <w:r>
        <w:rPr>
          <w:rFonts w:hint="eastAsia" w:ascii="黑体" w:hAnsi="黑体" w:eastAsia="黑体" w:cs="黑体"/>
          <w:b w:val="0"/>
          <w:bCs w:val="0"/>
          <w:sz w:val="24"/>
          <w:szCs w:val="24"/>
          <w:lang w:val="en-US" w:eastAsia="zh-CN"/>
        </w:rPr>
        <w:t xml:space="preserve"> </w:t>
      </w:r>
      <w:bookmarkEnd w:id="0"/>
      <w:r>
        <w:rPr>
          <w:rFonts w:hint="eastAsia" w:ascii="黑体" w:hAnsi="黑体" w:eastAsia="黑体" w:cs="黑体"/>
          <w:b w:val="0"/>
          <w:bCs w:val="0"/>
          <w:sz w:val="24"/>
          <w:szCs w:val="24"/>
          <w:lang w:val="en-US" w:eastAsia="zh-CN"/>
        </w:rPr>
        <w:t>9</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0"/>
        <w:rPr>
          <w:rFonts w:hint="eastAsia" w:ascii="方正小标宋简体" w:hAnsi="方正小标宋简体" w:eastAsia="方正小标宋简体" w:cs="方正小标宋简体"/>
          <w:spacing w:val="0"/>
          <w:sz w:val="44"/>
          <w:szCs w:val="44"/>
          <w:lang w:val="en" w:eastAsia="zh-CN"/>
        </w:rPr>
      </w:pPr>
      <w:r>
        <w:rPr>
          <w:rFonts w:hint="eastAsia" w:ascii="方正小标宋简体" w:hAnsi="方正小标宋简体" w:eastAsia="方正小标宋简体" w:cs="方正小标宋简体"/>
          <w:spacing w:val="0"/>
          <w:sz w:val="44"/>
          <w:szCs w:val="44"/>
          <w:lang w:eastAsia="zh-CN"/>
        </w:rPr>
        <w:t>江山经济开发区浙江万里扬智能压铸有限公司“7·11”一般机械伤害事故调查报告</w:t>
      </w:r>
    </w:p>
    <w:p>
      <w:pPr>
        <w:widowControl w:val="0"/>
        <w:wordWrap/>
        <w:adjustRightInd/>
        <w:snapToGrid/>
        <w:spacing w:line="570" w:lineRule="exact"/>
        <w:ind w:firstLine="640" w:firstLineChars="200"/>
        <w:jc w:val="both"/>
        <w:textAlignment w:val="auto"/>
        <w:rPr>
          <w:rFonts w:hint="eastAsia" w:ascii="仿宋_GB2312" w:hAnsi="仿宋_GB2312" w:eastAsia="仿宋_GB2312" w:cs="仿宋_GB2312"/>
          <w:sz w:val="32"/>
          <w:szCs w:val="32"/>
          <w:lang w:val="en-US" w:eastAsia="zh-CN"/>
        </w:rPr>
      </w:pPr>
    </w:p>
    <w:p>
      <w:pPr>
        <w:widowControl w:val="0"/>
        <w:numPr>
          <w:ilvl w:val="0"/>
          <w:numId w:val="0"/>
        </w:numPr>
        <w:wordWrap/>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2025年7月11日16时50分左右，位于江山经济开发区的浙江万里扬智能压铸有限公司发生一起机械伤害事故，造成一名人员死亡。</w:t>
      </w:r>
    </w:p>
    <w:p>
      <w:pPr>
        <w:widowControl w:val="0"/>
        <w:numPr>
          <w:ilvl w:val="0"/>
          <w:numId w:val="0"/>
        </w:numPr>
        <w:wordWrap/>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生产安全事故报告和调查处理条例》（国务院令第493号）、《浙江省生产安全事故报告和调查处理规定》（浙江省政府令第310号）和《江山市人民政府关于授权江山市应急管理局开展生产安全事故调查的批复》（江政函〔2019〕92号）的规定，江山市应急管理局牵头，会同市公安局、市总工会组成事故调查组，并邀请市人民检察院、市纪委市监委派员参加，共同对该起事故进行调查。</w:t>
      </w:r>
    </w:p>
    <w:p>
      <w:pPr>
        <w:widowControl w:val="0"/>
        <w:numPr>
          <w:ilvl w:val="0"/>
          <w:numId w:val="0"/>
        </w:numPr>
        <w:wordWrap/>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事故调查组按照“科学严谨、依法依规、实事求是、注重实效”的原则，通过现场检查记录、勘验分析、委托尸体鉴定、问询相关人员和查阅事故相关台账资料，查明了事故发生的经过和原因、认定了事故性质和责任，对责任单位和人员提出了处理建议，并针对事故原因提出了整改和防范措施要求。现将事故有关情况报告如下：</w:t>
      </w:r>
    </w:p>
    <w:p>
      <w:pPr>
        <w:widowControl w:val="0"/>
        <w:numPr>
          <w:ilvl w:val="0"/>
          <w:numId w:val="0"/>
        </w:numPr>
        <w:wordWrap/>
        <w:adjustRightInd/>
        <w:snapToGrid/>
        <w:spacing w:line="560" w:lineRule="exact"/>
        <w:ind w:firstLine="640" w:firstLineChars="200"/>
        <w:jc w:val="both"/>
        <w:textAlignment w:val="auto"/>
        <w:rPr>
          <w:rFonts w:hint="eastAsia" w:ascii="楷体_GB2312" w:hAnsi="楷体_GB2312" w:eastAsia="楷体_GB2312" w:cs="楷体_GB2312"/>
          <w:b/>
          <w:bCs/>
          <w:sz w:val="32"/>
          <w:szCs w:val="32"/>
          <w:lang w:val="en-US" w:eastAsia="zh-CN"/>
        </w:rPr>
      </w:pPr>
      <w:r>
        <w:rPr>
          <w:rFonts w:hint="eastAsia" w:ascii="黑体" w:hAnsi="黑体" w:eastAsia="黑体" w:cs="黑体"/>
          <w:sz w:val="32"/>
          <w:szCs w:val="32"/>
          <w:lang w:val="en-US" w:eastAsia="zh-CN"/>
        </w:rPr>
        <w:t>一、事故基本情况</w:t>
      </w:r>
    </w:p>
    <w:p>
      <w:pPr>
        <w:widowControl w:val="0"/>
        <w:numPr>
          <w:ilvl w:val="0"/>
          <w:numId w:val="0"/>
        </w:numPr>
        <w:wordWrap/>
        <w:adjustRightInd/>
        <w:snapToGrid/>
        <w:spacing w:line="560" w:lineRule="exact"/>
        <w:ind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（一）事故相关单位情况</w:t>
      </w:r>
    </w:p>
    <w:p>
      <w:pPr>
        <w:widowControl w:val="0"/>
        <w:numPr>
          <w:ilvl w:val="0"/>
          <w:numId w:val="0"/>
        </w:numPr>
        <w:wordWrap/>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事故发生单位：浙江万里扬智能压铸有限公司。类型：有限责任公司(非自然人投资或控股的法人独资)，该公司于2023年02月17日经江山市市场监督管理局注册成立，住所位于浙江省衢州市江山市虎山街道水泥厂路1号A区，统一社会信用代码：91330881MAC98C5B58，法定代表人：王*，经营范围包括一般项目：有色金属铸造；有色金属合金制造；有色金属合金销售；有色金属压延加工；新型金属功能材料销售；锻件及粉末冶金制品制造；锻件及粉末冶金制品销售；铸造机械制造；铸造机械销售（除依法须经批准的项目外，凭营业执照依法自主开展经营活动），为浙江万里扬新材料有限公司的全资子公司。</w:t>
      </w:r>
    </w:p>
    <w:p>
      <w:pPr>
        <w:widowControl w:val="0"/>
        <w:numPr>
          <w:ilvl w:val="0"/>
          <w:numId w:val="0"/>
        </w:numPr>
        <w:wordWrap/>
        <w:adjustRightInd/>
        <w:snapToGrid/>
        <w:spacing w:line="540" w:lineRule="exact"/>
        <w:ind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（二）事故相关人员情况</w:t>
      </w:r>
    </w:p>
    <w:p>
      <w:pPr>
        <w:keepNext w:val="0"/>
        <w:keepLines w:val="0"/>
        <w:pageBreakBefore w:val="0"/>
        <w:widowControl w:val="0"/>
        <w:numPr>
          <w:ilvl w:val="0"/>
          <w:numId w:val="0"/>
        </w:numPr>
        <w:kinsoku/>
        <w:wordWrap w:val="0"/>
        <w:overflowPunct/>
        <w:topLinePunct w:val="0"/>
        <w:autoSpaceDE/>
        <w:autoSpaceDN/>
        <w:bidi w:val="0"/>
        <w:adjustRightInd/>
        <w:snapToGrid/>
        <w:spacing w:line="54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1.祝某某，男，系浙江万里扬智能压铸有限公司压铸车间的压铸工，本次事故的死者。</w:t>
      </w:r>
    </w:p>
    <w:p>
      <w:pPr>
        <w:keepNext w:val="0"/>
        <w:keepLines w:val="0"/>
        <w:pageBreakBefore w:val="0"/>
        <w:widowControl w:val="0"/>
        <w:numPr>
          <w:ilvl w:val="0"/>
          <w:numId w:val="0"/>
        </w:numPr>
        <w:kinsoku/>
        <w:wordWrap w:val="0"/>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lang w:val="en-US" w:eastAsia="zh-CN"/>
        </w:rPr>
        <w:t>2.朱某某，男</w:t>
      </w:r>
      <w:r>
        <w:rPr>
          <w:rFonts w:hint="eastAsia" w:ascii="仿宋_GB2312" w:hAnsi="仿宋_GB2312" w:eastAsia="仿宋_GB2312" w:cs="仿宋_GB2312"/>
          <w:color w:val="auto"/>
          <w:sz w:val="32"/>
          <w:szCs w:val="32"/>
          <w:lang w:val="en-US" w:eastAsia="zh-CN"/>
        </w:rPr>
        <w:t>，系浙江万里扬新材料有限公司的安全员。</w:t>
      </w:r>
    </w:p>
    <w:p>
      <w:pPr>
        <w:keepNext w:val="0"/>
        <w:keepLines w:val="0"/>
        <w:pageBreakBefore w:val="0"/>
        <w:widowControl w:val="0"/>
        <w:numPr>
          <w:ilvl w:val="0"/>
          <w:numId w:val="0"/>
        </w:numPr>
        <w:kinsoku/>
        <w:wordWrap w:val="0"/>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lang w:val="en-US" w:eastAsia="zh-CN"/>
        </w:rPr>
        <w:t>3.张某某，男</w:t>
      </w:r>
      <w:r>
        <w:rPr>
          <w:rFonts w:hint="eastAsia" w:ascii="仿宋_GB2312" w:hAnsi="仿宋_GB2312" w:eastAsia="仿宋_GB2312" w:cs="仿宋_GB2312"/>
          <w:color w:val="auto"/>
          <w:sz w:val="32"/>
          <w:szCs w:val="32"/>
          <w:lang w:val="en-US" w:eastAsia="zh-CN"/>
        </w:rPr>
        <w:t>，系浙江万里扬智能压铸有限公司压铸车间的执行经理。</w:t>
      </w:r>
    </w:p>
    <w:p>
      <w:pPr>
        <w:keepNext w:val="0"/>
        <w:keepLines w:val="0"/>
        <w:pageBreakBefore w:val="0"/>
        <w:widowControl w:val="0"/>
        <w:numPr>
          <w:ilvl w:val="0"/>
          <w:numId w:val="0"/>
        </w:numPr>
        <w:kinsoku/>
        <w:wordWrap w:val="0"/>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lang w:val="en-US" w:eastAsia="zh-CN"/>
        </w:rPr>
        <w:t>4.雷某某，男</w:t>
      </w:r>
      <w:r>
        <w:rPr>
          <w:rFonts w:hint="eastAsia" w:ascii="仿宋_GB2312" w:hAnsi="仿宋_GB2312" w:eastAsia="仿宋_GB2312" w:cs="仿宋_GB2312"/>
          <w:color w:val="auto"/>
          <w:sz w:val="32"/>
          <w:szCs w:val="32"/>
          <w:lang w:val="en-US" w:eastAsia="zh-CN"/>
        </w:rPr>
        <w:t>，系浙江万里扬智能压铸有限公司压铸车间的执行经理。</w:t>
      </w:r>
    </w:p>
    <w:p>
      <w:pPr>
        <w:keepNext w:val="0"/>
        <w:keepLines w:val="0"/>
        <w:pageBreakBefore w:val="0"/>
        <w:widowControl w:val="0"/>
        <w:numPr>
          <w:ilvl w:val="0"/>
          <w:numId w:val="0"/>
        </w:numPr>
        <w:kinsoku/>
        <w:wordWrap w:val="0"/>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5.周某某，男，系</w:t>
      </w:r>
      <w:r>
        <w:rPr>
          <w:rFonts w:hint="eastAsia" w:ascii="仿宋_GB2312" w:hAnsi="仿宋_GB2312" w:eastAsia="仿宋_GB2312" w:cs="仿宋_GB2312"/>
          <w:sz w:val="32"/>
          <w:szCs w:val="32"/>
          <w:lang w:val="en-US" w:eastAsia="zh-CN"/>
        </w:rPr>
        <w:t>浙江万里扬智能压铸有限公司压铸车间的压铸工</w:t>
      </w:r>
      <w:r>
        <w:rPr>
          <w:rFonts w:hint="eastAsia" w:ascii="仿宋_GB2312" w:hAnsi="仿宋_GB2312" w:eastAsia="仿宋_GB2312" w:cs="仿宋_GB2312"/>
          <w:color w:val="000000"/>
          <w:sz w:val="32"/>
          <w:szCs w:val="32"/>
          <w:lang w:val="en-US" w:eastAsia="zh-CN"/>
        </w:rPr>
        <w:t>。</w:t>
      </w:r>
    </w:p>
    <w:p>
      <w:pPr>
        <w:keepNext w:val="0"/>
        <w:keepLines w:val="0"/>
        <w:pageBreakBefore w:val="0"/>
        <w:widowControl w:val="0"/>
        <w:numPr>
          <w:ilvl w:val="0"/>
          <w:numId w:val="0"/>
        </w:numPr>
        <w:kinsoku/>
        <w:wordWrap w:val="0"/>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000000"/>
          <w:sz w:val="32"/>
          <w:szCs w:val="32"/>
          <w:lang w:val="en-US" w:eastAsia="zh-CN"/>
        </w:rPr>
        <w:t>6.王某</w:t>
      </w:r>
      <w:bookmarkStart w:id="9" w:name="_GoBack"/>
      <w:bookmarkEnd w:id="9"/>
      <w:r>
        <w:rPr>
          <w:rFonts w:hint="eastAsia" w:ascii="仿宋_GB2312" w:hAnsi="仿宋_GB2312" w:eastAsia="仿宋_GB2312" w:cs="仿宋_GB2312"/>
          <w:color w:val="000000"/>
          <w:sz w:val="32"/>
          <w:szCs w:val="32"/>
          <w:lang w:val="en-US" w:eastAsia="zh-CN"/>
        </w:rPr>
        <w:t>某，男，系浙江万里扬智能压铸有限公司的法定代表人暨总经</w:t>
      </w:r>
      <w:r>
        <w:rPr>
          <w:rFonts w:hint="eastAsia" w:ascii="仿宋_GB2312" w:hAnsi="仿宋_GB2312" w:eastAsia="仿宋_GB2312" w:cs="仿宋_GB2312"/>
          <w:color w:val="auto"/>
          <w:sz w:val="32"/>
          <w:szCs w:val="32"/>
          <w:lang w:val="en-US" w:eastAsia="zh-CN"/>
        </w:rPr>
        <w:t>理。</w:t>
      </w:r>
    </w:p>
    <w:p>
      <w:pPr>
        <w:widowControl w:val="0"/>
        <w:numPr>
          <w:ilvl w:val="0"/>
          <w:numId w:val="0"/>
        </w:numPr>
        <w:wordWrap/>
        <w:adjustRightInd/>
        <w:snapToGrid/>
        <w:spacing w:line="540" w:lineRule="exact"/>
        <w:ind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（三）涉事设备基本信息</w:t>
      </w:r>
    </w:p>
    <w:p>
      <w:pPr>
        <w:widowControl w:val="0"/>
        <w:numPr>
          <w:ilvl w:val="0"/>
          <w:numId w:val="0"/>
        </w:numPr>
        <w:wordWrap/>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涉事设备为一台DCC1600卧式冷室压铸机，由宁波力劲科技有限公司生产，提供了产品合格证，生产日期为2023年10月1日。浙江万里扬新材料有限公司于2024年1月购入，随机附有产品合格证、说明书。DCC1600卧式冷室压铸机周边配套设备（取件机器人，喷雾机器人，锯切机器人，码垛机器人）由昆山伟拓压铸机械有限公司生产，提供了产品合格证，生产日期为2023年12月，随机附有产品合格证、说明书。该设备购入以后浙江万里扬新材料有限公司安排员工对该设备做试生产验证，2024年1月底正式投入使用，至事发期间，该设备未发生过故障。公司于2025年6月23日11点、2025年7月11日8点对该设备进行过维护保养。该设备由卧式冷室压铸机主机、给汤机、给汤系统、电气控制系统、液压系统、润滑系统、气动系统、冷却系统、安全防护、开合模系统及周边配套设备组成，被用于生产汽车零部件铸件。 </w:t>
      </w:r>
    </w:p>
    <w:p>
      <w:pPr>
        <w:widowControl w:val="0"/>
        <w:numPr>
          <w:ilvl w:val="0"/>
          <w:numId w:val="0"/>
        </w:numPr>
        <w:wordWrap/>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该设备的给汤机机械臂行进区域设置了安全门，安全门上张贴有安全警示标识牌，内容为：进入危险区域，请确认给汤机手动，且安全门打开，机器完全停止动作，以免烫伤！ </w:t>
      </w:r>
    </w:p>
    <w:p>
      <w:pPr>
        <w:widowControl w:val="0"/>
        <w:numPr>
          <w:ilvl w:val="0"/>
          <w:numId w:val="0"/>
        </w:numPr>
        <w:wordWrap/>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设备操作按键功能如下：</w:t>
      </w:r>
    </w:p>
    <w:p>
      <w:pPr>
        <w:widowControl w:val="0"/>
        <w:numPr>
          <w:ilvl w:val="0"/>
          <w:numId w:val="0"/>
        </w:numPr>
        <w:wordWrap/>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【手动/自动】键：自动模式下逆时针旋转约45°至手动模式，手动模式下顺时针旋转约45°至自动模式； </w:t>
      </w:r>
    </w:p>
    <w:p>
      <w:pPr>
        <w:widowControl w:val="0"/>
        <w:numPr>
          <w:ilvl w:val="0"/>
          <w:numId w:val="0"/>
        </w:numPr>
        <w:wordWrap/>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【电源开关】键：“开”状态下逆时针旋转约45°至“关”状态，关闭设备电源；“关”状态下顺时针旋转约45°至“开”状态，打开设备电源；</w:t>
      </w:r>
    </w:p>
    <w:p>
      <w:pPr>
        <w:widowControl w:val="0"/>
        <w:numPr>
          <w:ilvl w:val="0"/>
          <w:numId w:val="0"/>
        </w:numPr>
        <w:wordWrap/>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【急停】键：按下红色急停键，设备紧急停止。</w:t>
      </w:r>
    </w:p>
    <w:p>
      <w:pPr>
        <w:widowControl w:val="0"/>
        <w:numPr>
          <w:ilvl w:val="0"/>
          <w:numId w:val="0"/>
        </w:numPr>
        <w:wordWrap/>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设备操作说明书中安全警示要求“在机器运行时，不要在门周围停留，更不要打开、移动或者穿越安全门，以免造成伤害”，设备操作说明书中未对给汤机处的安全门的各动作条件进行说明；根据现场其他同型号的设备进行试验，设备处于自动状态下，拔出安全门插销，打开安全门后，给汤机即停止作业。事故时的现场安全门已处于打开状态，但插销未拔出，给汤机的机械臂未停止作业。</w:t>
      </w:r>
    </w:p>
    <w:p>
      <w:pPr>
        <w:widowControl w:val="0"/>
        <w:numPr>
          <w:ilvl w:val="0"/>
          <w:numId w:val="0"/>
        </w:numPr>
        <w:wordWrap/>
        <w:adjustRightInd/>
        <w:snapToGrid/>
        <w:spacing w:line="540" w:lineRule="exact"/>
        <w:ind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（四）现场检查勘验情况</w:t>
      </w:r>
    </w:p>
    <w:p>
      <w:pPr>
        <w:widowControl w:val="0"/>
        <w:numPr>
          <w:ilvl w:val="0"/>
          <w:numId w:val="0"/>
        </w:numPr>
        <w:wordWrap/>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bookmarkStart w:id="1" w:name="_Toc32557"/>
      <w:bookmarkStart w:id="2" w:name="_Toc10955"/>
      <w:r>
        <w:rPr>
          <w:rFonts w:hint="eastAsia" w:ascii="仿宋_GB2312" w:hAnsi="仿宋_GB2312" w:eastAsia="仿宋_GB2312" w:cs="仿宋_GB2312"/>
          <w:sz w:val="32"/>
          <w:szCs w:val="32"/>
          <w:lang w:val="en-US" w:eastAsia="zh-CN"/>
        </w:rPr>
        <w:t>经现场勘验和调阅资料，事故发生在浙江万里扬智能压铸有限公司的压铸车间，涉事压铸机位于压铸车间中间偏西位置，距离西北方向压铸工厂104门约112米左右，为祝某某日常工作使用，事故发生时，涉事压铸机给汤区域的安全门处于打开状态，安全门插销未拔出，涉事压铸机正在进行声光报警。</w:t>
      </w:r>
    </w:p>
    <w:p>
      <w:pPr>
        <w:widowControl w:val="0"/>
        <w:numPr>
          <w:ilvl w:val="0"/>
          <w:numId w:val="0"/>
        </w:numPr>
        <w:wordWrap/>
        <w:adjustRightInd/>
        <w:snapToGrid/>
        <w:spacing w:line="560" w:lineRule="exact"/>
        <w:ind w:firstLine="640" w:firstLineChars="200"/>
        <w:jc w:val="both"/>
        <w:textAlignment w:val="auto"/>
        <w:outlineLvl w:val="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二、事故发生经过和事故救援情况</w:t>
      </w:r>
      <w:bookmarkEnd w:id="1"/>
      <w:bookmarkEnd w:id="2"/>
    </w:p>
    <w:p>
      <w:pPr>
        <w:widowControl w:val="0"/>
        <w:numPr>
          <w:ilvl w:val="0"/>
          <w:numId w:val="0"/>
        </w:numPr>
        <w:wordWrap/>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val="en-US" w:eastAsia="zh-CN"/>
        </w:rPr>
        <w:t>（一）事故发生经过</w:t>
      </w:r>
    </w:p>
    <w:p>
      <w:pPr>
        <w:widowControl w:val="0"/>
        <w:numPr>
          <w:ilvl w:val="0"/>
          <w:numId w:val="0"/>
        </w:numPr>
        <w:wordWrap/>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事故发生后，事故调查组聘请三名技术专家对涉事设备的安全性开展技术分析、鉴定，并结合现场检查勘验及询问情况，出具了专家鉴定意见书。事故发生当天16时40分左右，压铸工</w:t>
      </w:r>
      <w:r>
        <w:rPr>
          <w:rFonts w:hint="eastAsia" w:ascii="仿宋_GB2312" w:hAnsi="仿宋_GB2312" w:eastAsia="仿宋_GB2312" w:cs="仿宋_GB2312"/>
          <w:sz w:val="32"/>
          <w:szCs w:val="32"/>
          <w:lang w:val="en" w:eastAsia="zh-CN"/>
        </w:rPr>
        <w:t>祝某某</w:t>
      </w:r>
      <w:r>
        <w:rPr>
          <w:rFonts w:hint="eastAsia" w:ascii="仿宋_GB2312" w:hAnsi="仿宋_GB2312" w:eastAsia="仿宋_GB2312" w:cs="仿宋_GB2312"/>
          <w:sz w:val="32"/>
          <w:szCs w:val="32"/>
          <w:lang w:val="en-US" w:eastAsia="zh-CN"/>
        </w:rPr>
        <w:t>发现涉事压铸机流程末端不再出料发出报警后，在未采取断电停机、拔出安全插销等安全防护措施和能量隔离的情况下，强行进入给汤机械臂行进区查看情况，在背对给汤机械臂清理铝渣时，给汤机械臂从祝某某背后直接挤压，导致了事故的发生。16时50分左右，压铸车间执行经理张某某巡查时发现</w:t>
      </w:r>
      <w:r>
        <w:rPr>
          <w:rFonts w:hint="eastAsia" w:ascii="仿宋_GB2312" w:hAnsi="仿宋_GB2312" w:eastAsia="仿宋_GB2312" w:cs="仿宋_GB2312"/>
          <w:sz w:val="32"/>
          <w:szCs w:val="32"/>
          <w:lang w:val="en" w:eastAsia="zh-CN"/>
        </w:rPr>
        <w:t>祝某某</w:t>
      </w:r>
      <w:r>
        <w:rPr>
          <w:rFonts w:hint="eastAsia" w:ascii="仿宋_GB2312" w:hAnsi="仿宋_GB2312" w:eastAsia="仿宋_GB2312" w:cs="仿宋_GB2312"/>
          <w:sz w:val="32"/>
          <w:szCs w:val="32"/>
          <w:lang w:val="en-US" w:eastAsia="zh-CN"/>
        </w:rPr>
        <w:t>被给汤机械臂压住且衣服着火。</w:t>
      </w:r>
    </w:p>
    <w:p>
      <w:pPr>
        <w:widowControl w:val="0"/>
        <w:numPr>
          <w:ilvl w:val="0"/>
          <w:numId w:val="0"/>
        </w:numPr>
        <w:wordWrap/>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（二）现场救援处置情况</w:t>
      </w:r>
    </w:p>
    <w:p>
      <w:pPr>
        <w:widowControl w:val="0"/>
        <w:numPr>
          <w:ilvl w:val="0"/>
          <w:numId w:val="0"/>
        </w:numPr>
        <w:wordWrap/>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执行经理张某某发现祝某某被压铸机的给汤机械臂挤压在给汤区域后，就立即去取最近的灭火器进行灭火，并电话通知压铸工厂厂长范某某开展施救。范某某接到电话后，立即赶到事故现场组织救援，并联系安全员朱某某拨打了120急救电话。16时54分，范某某和张某某将祝某某从压铸机给汤区域内救出，17时13分，救护车到达事故现场，现场人员随即协助救护人员将祝某某抬上救护车并送往江山市人民医院抢救。当天晚上，祝某某经江山市人民医院抢救无效后宣布死亡。</w:t>
      </w:r>
    </w:p>
    <w:p>
      <w:pPr>
        <w:widowControl w:val="0"/>
        <w:numPr>
          <w:ilvl w:val="0"/>
          <w:numId w:val="0"/>
        </w:numPr>
        <w:wordWrap/>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江山市应急管理局接到事故报告后，立即派员赶往现场进行处置，责令浙江万里扬智能压铸有限公司涉事设备暂时停止生产作业，并牵头成立事故调查组，全面开展事故调查</w:t>
      </w:r>
      <w:r>
        <w:rPr>
          <w:rFonts w:hint="eastAsia" w:ascii="仿宋_GB2312" w:hAnsi="仿宋_GB2312" w:eastAsia="仿宋_GB2312" w:cs="仿宋_GB2312"/>
          <w:color w:val="auto"/>
          <w:sz w:val="32"/>
          <w:szCs w:val="32"/>
          <w:lang w:val="en-US" w:eastAsia="zh-CN"/>
        </w:rPr>
        <w:t>，目前事故调查取证和善后处理工作已结束。</w:t>
      </w:r>
    </w:p>
    <w:p>
      <w:pPr>
        <w:widowControl w:val="0"/>
        <w:numPr>
          <w:ilvl w:val="0"/>
          <w:numId w:val="0"/>
        </w:numPr>
        <w:wordWrap/>
        <w:adjustRightInd/>
        <w:snapToGrid/>
        <w:spacing w:line="560" w:lineRule="exact"/>
        <w:ind w:firstLine="640" w:firstLineChars="200"/>
        <w:jc w:val="both"/>
        <w:textAlignment w:val="auto"/>
        <w:outlineLvl w:val="0"/>
        <w:rPr>
          <w:rFonts w:hint="eastAsia" w:ascii="黑体" w:hAnsi="黑体" w:eastAsia="黑体" w:cs="黑体"/>
          <w:sz w:val="32"/>
          <w:szCs w:val="32"/>
          <w:lang w:val="en-US" w:eastAsia="zh-CN"/>
        </w:rPr>
      </w:pPr>
      <w:bookmarkStart w:id="3" w:name="_Toc18286"/>
      <w:bookmarkStart w:id="4" w:name="_Toc27121"/>
      <w:r>
        <w:rPr>
          <w:rFonts w:hint="eastAsia" w:ascii="黑体" w:hAnsi="黑体" w:eastAsia="黑体" w:cs="黑体"/>
          <w:sz w:val="32"/>
          <w:szCs w:val="32"/>
          <w:lang w:val="en-US" w:eastAsia="zh-CN"/>
        </w:rPr>
        <w:t>三、事故发生的原因</w:t>
      </w:r>
      <w:bookmarkEnd w:id="3"/>
      <w:bookmarkEnd w:id="4"/>
      <w:r>
        <w:rPr>
          <w:rFonts w:hint="eastAsia" w:ascii="黑体" w:hAnsi="黑体" w:eastAsia="黑体" w:cs="黑体"/>
          <w:sz w:val="32"/>
          <w:szCs w:val="32"/>
          <w:lang w:val="en-US" w:eastAsia="zh-CN"/>
        </w:rPr>
        <w:t>及性质分析</w:t>
      </w:r>
    </w:p>
    <w:p>
      <w:pPr>
        <w:widowControl w:val="0"/>
        <w:numPr>
          <w:ilvl w:val="0"/>
          <w:numId w:val="0"/>
        </w:numPr>
        <w:wordWrap/>
        <w:adjustRightInd/>
        <w:snapToGrid/>
        <w:spacing w:line="560" w:lineRule="exact"/>
        <w:ind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（一）直接原因</w:t>
      </w:r>
    </w:p>
    <w:p>
      <w:pPr>
        <w:widowControl w:val="0"/>
        <w:numPr>
          <w:ilvl w:val="0"/>
          <w:numId w:val="0"/>
        </w:numPr>
        <w:wordWrap/>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人的不安全行为：死者</w:t>
      </w:r>
      <w:r>
        <w:rPr>
          <w:rFonts w:hint="eastAsia" w:ascii="仿宋_GB2312" w:hAnsi="仿宋_GB2312" w:eastAsia="仿宋_GB2312" w:cs="仿宋_GB2312"/>
          <w:color w:val="auto"/>
          <w:sz w:val="32"/>
          <w:szCs w:val="32"/>
          <w:lang w:val="en" w:eastAsia="zh-CN"/>
        </w:rPr>
        <w:t>祝某某</w:t>
      </w:r>
      <w:r>
        <w:rPr>
          <w:rFonts w:hint="eastAsia" w:ascii="仿宋_GB2312" w:hAnsi="仿宋_GB2312" w:eastAsia="仿宋_GB2312" w:cs="仿宋_GB2312"/>
          <w:color w:val="auto"/>
          <w:sz w:val="32"/>
          <w:szCs w:val="32"/>
          <w:lang w:val="en-US" w:eastAsia="zh-CN"/>
        </w:rPr>
        <w:t>安全生产意识淡薄，作业时未严格执行公司操作规程，将自身置于设备危险区域之内，且未根据设备安全警示要求，在打开设备安全门前采取断电停机、拔出安全插销等安全防范措施。</w:t>
      </w:r>
    </w:p>
    <w:p>
      <w:pPr>
        <w:widowControl w:val="0"/>
        <w:numPr>
          <w:ilvl w:val="0"/>
          <w:numId w:val="0"/>
        </w:numPr>
        <w:wordWrap/>
        <w:adjustRightInd/>
        <w:snapToGrid/>
        <w:spacing w:line="560" w:lineRule="exact"/>
        <w:ind w:firstLine="640" w:firstLineChars="200"/>
        <w:jc w:val="both"/>
        <w:textAlignment w:val="auto"/>
        <w:rPr>
          <w:rFonts w:hint="default"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（二）事故暴露出的问题</w:t>
      </w:r>
    </w:p>
    <w:p>
      <w:pPr>
        <w:widowControl w:val="0"/>
        <w:numPr>
          <w:ilvl w:val="0"/>
          <w:numId w:val="0"/>
        </w:numPr>
        <w:wordWrap/>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1.安全生产主体责任落实不到位。</w:t>
      </w:r>
      <w:r>
        <w:rPr>
          <w:rFonts w:hint="default" w:ascii="仿宋_GB2312" w:hAnsi="仿宋_GB2312" w:eastAsia="仿宋_GB2312" w:cs="仿宋_GB2312"/>
          <w:color w:val="auto"/>
          <w:sz w:val="32"/>
          <w:szCs w:val="32"/>
          <w:lang w:val="en" w:eastAsia="zh-CN"/>
        </w:rPr>
        <w:t>浙江万里扬智能压铸</w:t>
      </w:r>
      <w:r>
        <w:rPr>
          <w:rFonts w:hint="eastAsia" w:ascii="仿宋_GB2312" w:hAnsi="仿宋_GB2312" w:eastAsia="仿宋_GB2312" w:cs="仿宋_GB2312"/>
          <w:color w:val="auto"/>
          <w:sz w:val="32"/>
          <w:szCs w:val="32"/>
          <w:lang w:val="en-US" w:eastAsia="zh-CN"/>
        </w:rPr>
        <w:t>有限公司未设置专门的安全生产管理机构，也未配备专门的安全生产管理人员，未投保安全生产责任保险，未制定操作</w:t>
      </w:r>
      <w:r>
        <w:rPr>
          <w:rFonts w:hint="default" w:ascii="仿宋_GB2312" w:hAnsi="仿宋_GB2312" w:eastAsia="仿宋_GB2312" w:cs="仿宋_GB2312"/>
          <w:color w:val="auto"/>
          <w:sz w:val="32"/>
          <w:szCs w:val="32"/>
          <w:lang w:val="en" w:eastAsia="zh-CN"/>
        </w:rPr>
        <w:t>压铸</w:t>
      </w:r>
      <w:r>
        <w:rPr>
          <w:rFonts w:hint="eastAsia" w:ascii="仿宋_GB2312" w:hAnsi="仿宋_GB2312" w:eastAsia="仿宋_GB2312" w:cs="仿宋_GB2312"/>
          <w:color w:val="auto"/>
          <w:sz w:val="32"/>
          <w:szCs w:val="32"/>
          <w:lang w:val="en-US" w:eastAsia="zh-CN"/>
        </w:rPr>
        <w:t>机作业的相关安全管理制度，</w:t>
      </w:r>
    </w:p>
    <w:p>
      <w:pPr>
        <w:widowControl w:val="0"/>
        <w:numPr>
          <w:ilvl w:val="0"/>
          <w:numId w:val="0"/>
        </w:numPr>
        <w:wordWrap/>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2.安全生产管理不到位。</w:t>
      </w:r>
      <w:r>
        <w:rPr>
          <w:rFonts w:hint="default" w:ascii="仿宋_GB2312" w:hAnsi="仿宋_GB2312" w:eastAsia="仿宋_GB2312" w:cs="仿宋_GB2312"/>
          <w:color w:val="auto"/>
          <w:sz w:val="32"/>
          <w:szCs w:val="32"/>
          <w:lang w:val="en" w:eastAsia="zh-CN"/>
        </w:rPr>
        <w:t>浙江万里扬智能压铸</w:t>
      </w:r>
      <w:r>
        <w:rPr>
          <w:rFonts w:hint="eastAsia" w:ascii="仿宋_GB2312" w:hAnsi="仿宋_GB2312" w:eastAsia="仿宋_GB2312" w:cs="仿宋_GB2312"/>
          <w:color w:val="auto"/>
          <w:sz w:val="32"/>
          <w:szCs w:val="32"/>
          <w:lang w:val="en-US" w:eastAsia="zh-CN"/>
        </w:rPr>
        <w:t>有限公司未及时发现并消除涉事压铸机存在的安全门未设置连锁停机功能、给汤机械臂未在行进过程中碰到障碍物退回、祝某某违章作业等事故隐患，</w:t>
      </w:r>
      <w:r>
        <w:rPr>
          <w:rFonts w:hint="eastAsia" w:ascii="仿宋_GB2312" w:hAnsi="仿宋_GB2312" w:eastAsia="仿宋_GB2312" w:cs="仿宋_GB2312"/>
          <w:sz w:val="32"/>
          <w:szCs w:val="32"/>
          <w:lang w:val="en-US" w:eastAsia="zh-CN"/>
        </w:rPr>
        <w:t>未督促</w:t>
      </w:r>
      <w:r>
        <w:rPr>
          <w:rFonts w:hint="eastAsia" w:ascii="仿宋_GB2312" w:hAnsi="仿宋_GB2312" w:eastAsia="仿宋_GB2312" w:cs="仿宋_GB2312"/>
          <w:sz w:val="32"/>
          <w:szCs w:val="32"/>
          <w:lang w:val="en" w:eastAsia="zh-CN"/>
        </w:rPr>
        <w:t>祝某某</w:t>
      </w:r>
      <w:r>
        <w:rPr>
          <w:rFonts w:hint="eastAsia" w:ascii="仿宋_GB2312" w:hAnsi="仿宋_GB2312" w:eastAsia="仿宋_GB2312" w:cs="仿宋_GB2312"/>
          <w:sz w:val="32"/>
          <w:szCs w:val="32"/>
          <w:lang w:val="en-US" w:eastAsia="zh-CN"/>
        </w:rPr>
        <w:t>严格执行安全生产规章制度和安全操作规程</w:t>
      </w:r>
      <w:r>
        <w:rPr>
          <w:rFonts w:hint="eastAsia" w:ascii="仿宋_GB2312" w:hAnsi="仿宋_GB2312" w:eastAsia="仿宋_GB2312" w:cs="仿宋_GB2312"/>
          <w:color w:val="auto"/>
          <w:sz w:val="32"/>
          <w:szCs w:val="32"/>
          <w:lang w:val="en-US" w:eastAsia="zh-CN"/>
        </w:rPr>
        <w:t>。</w:t>
      </w:r>
    </w:p>
    <w:p>
      <w:pPr>
        <w:widowControl w:val="0"/>
        <w:numPr>
          <w:ilvl w:val="0"/>
          <w:numId w:val="0"/>
        </w:numPr>
        <w:wordWrap/>
        <w:adjustRightInd/>
        <w:snapToGrid/>
        <w:spacing w:line="560" w:lineRule="exact"/>
        <w:ind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（三）事故性质</w:t>
      </w:r>
    </w:p>
    <w:p>
      <w:pPr>
        <w:widowControl w:val="0"/>
        <w:numPr>
          <w:ilvl w:val="0"/>
          <w:numId w:val="0"/>
        </w:numPr>
        <w:wordWrap/>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经调查认定，本次事故为一起生产安全责任事故，事故等级为一般事故。</w:t>
      </w:r>
    </w:p>
    <w:p>
      <w:pPr>
        <w:widowControl w:val="0"/>
        <w:wordWrap w:val="0"/>
        <w:adjustRightInd/>
        <w:snapToGrid/>
        <w:spacing w:line="540" w:lineRule="exact"/>
        <w:ind w:firstLine="640" w:firstLineChars="200"/>
        <w:textAlignment w:val="auto"/>
        <w:outlineLvl w:val="0"/>
        <w:rPr>
          <w:rFonts w:hint="eastAsia" w:ascii="黑体" w:hAnsi="黑体" w:eastAsia="黑体" w:cs="黑体"/>
          <w:sz w:val="32"/>
          <w:szCs w:val="32"/>
        </w:rPr>
      </w:pPr>
      <w:r>
        <w:rPr>
          <w:rFonts w:hint="eastAsia" w:ascii="黑体" w:hAnsi="黑体" w:eastAsia="黑体" w:cs="黑体"/>
          <w:sz w:val="32"/>
          <w:szCs w:val="32"/>
        </w:rPr>
        <w:t>四、相关问题及处理建议</w:t>
      </w:r>
    </w:p>
    <w:p>
      <w:pPr>
        <w:widowControl w:val="0"/>
        <w:numPr>
          <w:ilvl w:val="0"/>
          <w:numId w:val="0"/>
        </w:numPr>
        <w:wordWrap/>
        <w:adjustRightInd/>
        <w:snapToGrid/>
        <w:spacing w:line="560" w:lineRule="exact"/>
        <w:ind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（一）建议免于追究责任人员</w:t>
      </w:r>
    </w:p>
    <w:p>
      <w:pPr>
        <w:widowControl w:val="0"/>
        <w:numPr>
          <w:ilvl w:val="0"/>
          <w:numId w:val="0"/>
        </w:numPr>
        <w:wordWrap/>
        <w:adjustRightInd/>
        <w:snapToGrid/>
        <w:spacing w:line="560" w:lineRule="exact"/>
        <w:ind w:firstLine="640" w:firstLineChars="200"/>
        <w:jc w:val="both"/>
        <w:textAlignment w:val="auto"/>
        <w:rPr>
          <w:rFonts w:hint="eastAsia" w:ascii="仿宋_GB2312" w:hAnsi="仿宋_GB2312" w:eastAsia="仿宋_GB2312" w:cs="仿宋_GB2312"/>
          <w:b w:val="0"/>
          <w:bCs w:val="0"/>
          <w:i w:val="0"/>
          <w:caps w:val="0"/>
          <w:color w:val="auto"/>
          <w:spacing w:val="0"/>
          <w:sz w:val="32"/>
          <w:szCs w:val="32"/>
          <w:shd w:val="clear" w:color="auto" w:fill="FFFFFF"/>
          <w:lang w:val="en-US" w:eastAsia="zh-CN"/>
        </w:rPr>
      </w:pPr>
      <w:r>
        <w:rPr>
          <w:rFonts w:hint="eastAsia" w:ascii="仿宋_GB2312" w:hAnsi="仿宋_GB2312" w:eastAsia="仿宋_GB2312" w:cs="仿宋_GB2312"/>
          <w:b w:val="0"/>
          <w:bCs w:val="0"/>
          <w:i w:val="0"/>
          <w:caps w:val="0"/>
          <w:color w:val="auto"/>
          <w:spacing w:val="0"/>
          <w:sz w:val="32"/>
          <w:szCs w:val="32"/>
          <w:shd w:val="clear" w:color="auto" w:fill="FFFFFF"/>
          <w:lang w:val="en-US" w:eastAsia="zh-CN"/>
        </w:rPr>
        <w:t>死者</w:t>
      </w:r>
      <w:r>
        <w:rPr>
          <w:rFonts w:hint="eastAsia" w:ascii="仿宋_GB2312" w:hAnsi="仿宋_GB2312" w:eastAsia="仿宋_GB2312" w:cs="仿宋_GB2312"/>
          <w:b w:val="0"/>
          <w:bCs w:val="0"/>
          <w:i w:val="0"/>
          <w:caps w:val="0"/>
          <w:color w:val="auto"/>
          <w:spacing w:val="0"/>
          <w:sz w:val="32"/>
          <w:szCs w:val="32"/>
          <w:shd w:val="clear" w:color="auto" w:fill="FFFFFF"/>
          <w:lang w:val="en" w:eastAsia="zh-CN"/>
        </w:rPr>
        <w:t>祝某某</w:t>
      </w:r>
      <w:r>
        <w:rPr>
          <w:rFonts w:hint="eastAsia" w:ascii="仿宋_GB2312" w:hAnsi="仿宋_GB2312" w:eastAsia="仿宋_GB2312" w:cs="仿宋_GB2312"/>
          <w:b w:val="0"/>
          <w:bCs w:val="0"/>
          <w:i w:val="0"/>
          <w:caps w:val="0"/>
          <w:color w:val="auto"/>
          <w:spacing w:val="0"/>
          <w:sz w:val="32"/>
          <w:szCs w:val="32"/>
          <w:shd w:val="clear" w:color="auto" w:fill="FFFFFF"/>
          <w:lang w:val="en-US" w:eastAsia="zh-CN"/>
        </w:rPr>
        <w:t>安全生产意识淡薄，作业时未严格执行公司操作规程，将自身置于设备危险区域之内，且未根据设备安全警示要求，在打开设备安全门前采取断电停机、拔出安全插销等安全防范措施，对事故的发生负有直接责任，鉴于</w:t>
      </w:r>
      <w:r>
        <w:rPr>
          <w:rFonts w:hint="eastAsia" w:ascii="仿宋_GB2312" w:hAnsi="仿宋_GB2312" w:eastAsia="仿宋_GB2312" w:cs="仿宋_GB2312"/>
          <w:b w:val="0"/>
          <w:bCs w:val="0"/>
          <w:i w:val="0"/>
          <w:caps w:val="0"/>
          <w:color w:val="auto"/>
          <w:spacing w:val="0"/>
          <w:sz w:val="32"/>
          <w:szCs w:val="32"/>
          <w:shd w:val="clear" w:color="auto" w:fill="FFFFFF"/>
          <w:lang w:val="en" w:eastAsia="zh-CN"/>
        </w:rPr>
        <w:t>祝某某</w:t>
      </w:r>
      <w:r>
        <w:rPr>
          <w:rFonts w:hint="eastAsia" w:ascii="仿宋_GB2312" w:hAnsi="仿宋_GB2312" w:eastAsia="仿宋_GB2312" w:cs="仿宋_GB2312"/>
          <w:b w:val="0"/>
          <w:bCs w:val="0"/>
          <w:i w:val="0"/>
          <w:caps w:val="0"/>
          <w:color w:val="auto"/>
          <w:spacing w:val="0"/>
          <w:sz w:val="32"/>
          <w:szCs w:val="32"/>
          <w:shd w:val="clear" w:color="auto" w:fill="FFFFFF"/>
          <w:lang w:val="en-US" w:eastAsia="zh-CN"/>
        </w:rPr>
        <w:t>已经在事故中死亡，建议免于追究其责任。</w:t>
      </w:r>
    </w:p>
    <w:p>
      <w:pPr>
        <w:widowControl w:val="0"/>
        <w:numPr>
          <w:ilvl w:val="0"/>
          <w:numId w:val="1"/>
        </w:numPr>
        <w:wordWrap/>
        <w:adjustRightInd/>
        <w:snapToGrid/>
        <w:spacing w:line="560" w:lineRule="exact"/>
        <w:ind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建议给予行政处罚的单位和个人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w:t>
      </w:r>
      <w:r>
        <w:rPr>
          <w:rFonts w:hint="default" w:ascii="仿宋_GB2312" w:hAnsi="仿宋_GB2312" w:eastAsia="仿宋_GB2312" w:cs="仿宋_GB2312"/>
          <w:sz w:val="32"/>
          <w:szCs w:val="32"/>
          <w:lang w:val="en" w:eastAsia="zh-CN"/>
        </w:rPr>
        <w:t>浙江万里扬智能压铸</w:t>
      </w:r>
      <w:r>
        <w:rPr>
          <w:rFonts w:hint="eastAsia" w:ascii="仿宋_GB2312" w:hAnsi="仿宋_GB2312" w:eastAsia="仿宋_GB2312" w:cs="仿宋_GB2312"/>
          <w:sz w:val="32"/>
          <w:szCs w:val="32"/>
          <w:lang w:val="en-US" w:eastAsia="zh-CN"/>
        </w:rPr>
        <w:t>有限公司，未落实好安全生产主体责任，</w:t>
      </w:r>
      <w:r>
        <w:rPr>
          <w:rFonts w:hint="eastAsia" w:ascii="仿宋_GB2312" w:hAnsi="仿宋_GB2312" w:eastAsia="仿宋_GB2312" w:cs="仿宋_GB2312"/>
          <w:color w:val="auto"/>
          <w:sz w:val="32"/>
          <w:szCs w:val="32"/>
          <w:lang w:val="en-US" w:eastAsia="zh-CN"/>
        </w:rPr>
        <w:t>未设置安全生产管理机构，也未配备专门的安全生产管理人员</w:t>
      </w:r>
      <w:r>
        <w:rPr>
          <w:rStyle w:val="9"/>
          <w:rFonts w:hint="eastAsia" w:ascii="仿宋_GB2312" w:hAnsi="仿宋_GB2312" w:eastAsia="仿宋_GB2312" w:cs="仿宋_GB2312"/>
          <w:color w:val="auto"/>
          <w:sz w:val="32"/>
          <w:szCs w:val="32"/>
          <w:lang w:val="en-US" w:eastAsia="zh-CN"/>
        </w:rPr>
        <w:footnoteReference w:id="0"/>
      </w:r>
      <w:r>
        <w:rPr>
          <w:rFonts w:hint="eastAsia" w:ascii="仿宋_GB2312" w:hAnsi="仿宋_GB2312" w:eastAsia="仿宋_GB2312" w:cs="仿宋_GB2312"/>
          <w:color w:val="auto"/>
          <w:sz w:val="32"/>
          <w:szCs w:val="32"/>
          <w:lang w:val="en-US" w:eastAsia="zh-CN"/>
        </w:rPr>
        <w:t>，未投保安全生产责任保险</w:t>
      </w:r>
      <w:r>
        <w:rPr>
          <w:rStyle w:val="9"/>
          <w:rFonts w:hint="eastAsia" w:ascii="仿宋_GB2312" w:hAnsi="仿宋_GB2312" w:eastAsia="仿宋_GB2312" w:cs="仿宋_GB2312"/>
          <w:color w:val="auto"/>
          <w:sz w:val="32"/>
          <w:szCs w:val="32"/>
          <w:lang w:val="en-US" w:eastAsia="zh-CN"/>
        </w:rPr>
        <w:footnoteReference w:id="1"/>
      </w:r>
      <w:r>
        <w:rPr>
          <w:rFonts w:hint="eastAsia" w:ascii="仿宋_GB2312" w:hAnsi="仿宋_GB2312" w:eastAsia="仿宋_GB2312" w:cs="仿宋_GB2312"/>
          <w:color w:val="auto"/>
          <w:sz w:val="32"/>
          <w:szCs w:val="32"/>
          <w:lang w:val="en-US" w:eastAsia="zh-CN"/>
        </w:rPr>
        <w:t>，未组织制定操作</w:t>
      </w:r>
      <w:r>
        <w:rPr>
          <w:rFonts w:hint="default" w:ascii="仿宋_GB2312" w:hAnsi="仿宋_GB2312" w:eastAsia="仿宋_GB2312" w:cs="仿宋_GB2312"/>
          <w:color w:val="auto"/>
          <w:sz w:val="32"/>
          <w:szCs w:val="32"/>
          <w:lang w:val="en" w:eastAsia="zh-CN"/>
        </w:rPr>
        <w:t>压铸</w:t>
      </w:r>
      <w:r>
        <w:rPr>
          <w:rFonts w:hint="eastAsia" w:ascii="仿宋_GB2312" w:hAnsi="仿宋_GB2312" w:eastAsia="仿宋_GB2312" w:cs="仿宋_GB2312"/>
          <w:color w:val="auto"/>
          <w:sz w:val="32"/>
          <w:szCs w:val="32"/>
          <w:lang w:val="en-US" w:eastAsia="zh-CN"/>
        </w:rPr>
        <w:t>机作业的相关安全管理制度</w:t>
      </w:r>
      <w:r>
        <w:rPr>
          <w:rStyle w:val="9"/>
          <w:rFonts w:hint="eastAsia" w:ascii="仿宋_GB2312" w:hAnsi="仿宋_GB2312" w:eastAsia="仿宋_GB2312" w:cs="仿宋_GB2312"/>
          <w:color w:val="auto"/>
          <w:sz w:val="32"/>
          <w:szCs w:val="32"/>
          <w:lang w:val="en-US" w:eastAsia="zh-CN"/>
        </w:rPr>
        <w:footnoteReference w:id="2"/>
      </w:r>
      <w:r>
        <w:rPr>
          <w:rFonts w:hint="eastAsia" w:ascii="仿宋_GB2312" w:hAnsi="仿宋_GB2312" w:eastAsia="仿宋_GB2312" w:cs="仿宋_GB2312"/>
          <w:sz w:val="32"/>
          <w:szCs w:val="32"/>
          <w:lang w:val="en-US" w:eastAsia="zh-CN"/>
        </w:rPr>
        <w:t>，未督促</w:t>
      </w:r>
      <w:r>
        <w:rPr>
          <w:rFonts w:hint="eastAsia" w:ascii="仿宋_GB2312" w:hAnsi="仿宋_GB2312" w:eastAsia="仿宋_GB2312" w:cs="仿宋_GB2312"/>
          <w:sz w:val="32"/>
          <w:szCs w:val="32"/>
          <w:lang w:val="en" w:eastAsia="zh-CN"/>
        </w:rPr>
        <w:t>祝某某</w:t>
      </w:r>
      <w:r>
        <w:rPr>
          <w:rFonts w:hint="eastAsia" w:ascii="仿宋_GB2312" w:hAnsi="仿宋_GB2312" w:eastAsia="仿宋_GB2312" w:cs="仿宋_GB2312"/>
          <w:sz w:val="32"/>
          <w:szCs w:val="32"/>
          <w:lang w:val="en-US" w:eastAsia="zh-CN"/>
        </w:rPr>
        <w:t>严格执行安全生产规章制度和安全操作规程</w:t>
      </w:r>
      <w:r>
        <w:rPr>
          <w:rStyle w:val="9"/>
          <w:rFonts w:hint="eastAsia" w:ascii="仿宋_GB2312" w:hAnsi="仿宋_GB2312" w:eastAsia="仿宋_GB2312" w:cs="仿宋_GB2312"/>
          <w:sz w:val="32"/>
          <w:szCs w:val="32"/>
          <w:lang w:val="en-US" w:eastAsia="zh-CN"/>
        </w:rPr>
        <w:footnoteReference w:id="3"/>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color w:val="auto"/>
          <w:sz w:val="32"/>
          <w:szCs w:val="32"/>
          <w:lang w:val="en-US" w:eastAsia="zh-CN"/>
        </w:rPr>
        <w:t>未及时发现并消除涉事压铸机存在的安全门未设置连锁停机功能、给汤机械臂未在行进过程中碰到障碍物退回、祝某某违章作业等事故隐患</w:t>
      </w:r>
      <w:r>
        <w:rPr>
          <w:rStyle w:val="9"/>
          <w:rFonts w:hint="eastAsia" w:ascii="仿宋_GB2312" w:hAnsi="仿宋_GB2312" w:eastAsia="仿宋_GB2312" w:cs="仿宋_GB2312"/>
          <w:color w:val="auto"/>
          <w:sz w:val="32"/>
          <w:szCs w:val="32"/>
          <w:lang w:val="en-US" w:eastAsia="zh-CN"/>
        </w:rPr>
        <w:footnoteReference w:id="4"/>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sz w:val="32"/>
          <w:szCs w:val="32"/>
          <w:lang w:val="en-US" w:eastAsia="zh-CN"/>
        </w:rPr>
        <w:t>对事故的发生负有责任，建议江山市应急管理局依据《中华人民共和国安全生产法》第一百一十四条第一款第一项的规定，对</w:t>
      </w:r>
      <w:r>
        <w:rPr>
          <w:rFonts w:hint="default" w:ascii="仿宋_GB2312" w:hAnsi="仿宋_GB2312" w:eastAsia="仿宋_GB2312" w:cs="仿宋_GB2312"/>
          <w:sz w:val="32"/>
          <w:szCs w:val="32"/>
          <w:lang w:val="en" w:eastAsia="zh-CN"/>
        </w:rPr>
        <w:t>浙江万里扬智能压铸</w:t>
      </w:r>
      <w:r>
        <w:rPr>
          <w:rFonts w:hint="eastAsia" w:ascii="仿宋_GB2312" w:hAnsi="仿宋_GB2312" w:eastAsia="仿宋_GB2312" w:cs="仿宋_GB2312"/>
          <w:sz w:val="32"/>
          <w:szCs w:val="32"/>
          <w:lang w:val="en-US" w:eastAsia="zh-CN"/>
        </w:rPr>
        <w:t>有限公司进行行政处罚。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2.王某某，作为</w:t>
      </w:r>
      <w:r>
        <w:rPr>
          <w:rFonts w:hint="default" w:ascii="仿宋_GB2312" w:hAnsi="仿宋_GB2312" w:eastAsia="仿宋_GB2312" w:cs="仿宋_GB2312"/>
          <w:sz w:val="32"/>
          <w:szCs w:val="32"/>
          <w:lang w:val="en" w:eastAsia="zh-CN"/>
        </w:rPr>
        <w:t>浙江万里扬智能压铸</w:t>
      </w:r>
      <w:r>
        <w:rPr>
          <w:rFonts w:hint="eastAsia" w:ascii="仿宋_GB2312" w:hAnsi="仿宋_GB2312" w:eastAsia="仿宋_GB2312" w:cs="仿宋_GB2312"/>
          <w:sz w:val="32"/>
          <w:szCs w:val="32"/>
          <w:lang w:val="en-US" w:eastAsia="zh-CN"/>
        </w:rPr>
        <w:t>有限公司的法定代表人暨总经理，未按规定依法履行公司主要负责人的安全生产职责，未组织制定使用压铸机的相关安全生产规章制度</w:t>
      </w:r>
      <w:r>
        <w:rPr>
          <w:rStyle w:val="9"/>
          <w:rFonts w:hint="eastAsia" w:ascii="仿宋_GB2312" w:hAnsi="仿宋_GB2312" w:eastAsia="仿宋_GB2312" w:cs="仿宋_GB2312"/>
          <w:b w:val="0"/>
          <w:bCs w:val="0"/>
          <w:i w:val="0"/>
          <w:caps w:val="0"/>
          <w:color w:val="auto"/>
          <w:spacing w:val="0"/>
          <w:sz w:val="32"/>
          <w:szCs w:val="32"/>
          <w:shd w:val="clear" w:color="auto" w:fill="FFFFFF"/>
          <w:lang w:val="en-US" w:eastAsia="zh-CN"/>
        </w:rPr>
        <w:footnoteReference w:id="5"/>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color w:val="auto"/>
          <w:sz w:val="32"/>
          <w:szCs w:val="32"/>
          <w:lang w:val="en-US" w:eastAsia="zh-CN"/>
        </w:rPr>
        <w:t>未及时发现并消除涉事压铸机存在的安全门未设置连锁停机功能、给汤机械臂未在行进过程中碰到障碍物退回、祝某某违章作业等生产安全事故隐患</w:t>
      </w:r>
      <w:r>
        <w:rPr>
          <w:rStyle w:val="9"/>
          <w:rFonts w:hint="eastAsia" w:ascii="仿宋_GB2312" w:hAnsi="仿宋_GB2312" w:eastAsia="仿宋_GB2312" w:cs="仿宋_GB2312"/>
          <w:b w:val="0"/>
          <w:bCs w:val="0"/>
          <w:i w:val="0"/>
          <w:caps w:val="0"/>
          <w:color w:val="auto"/>
          <w:spacing w:val="0"/>
          <w:sz w:val="32"/>
          <w:szCs w:val="32"/>
          <w:shd w:val="clear" w:color="auto" w:fill="FFFFFF"/>
          <w:lang w:val="en-US" w:eastAsia="zh-CN"/>
        </w:rPr>
        <w:footnoteReference w:id="6"/>
      </w:r>
      <w:r>
        <w:rPr>
          <w:rFonts w:hint="eastAsia" w:ascii="仿宋_GB2312" w:hAnsi="仿宋_GB2312" w:eastAsia="仿宋_GB2312" w:cs="仿宋_GB2312"/>
          <w:sz w:val="32"/>
          <w:szCs w:val="32"/>
          <w:lang w:val="en-US" w:eastAsia="zh-CN"/>
        </w:rPr>
        <w:t>，对本次事故的发生负有责任，建议江山市应急管理局依据《中华人民共和国安全生产法》第九十五条第（一）项的规定，对王某某进行行政处罚。</w:t>
      </w:r>
    </w:p>
    <w:p>
      <w:pPr>
        <w:widowControl w:val="0"/>
        <w:numPr>
          <w:ilvl w:val="0"/>
          <w:numId w:val="0"/>
        </w:numPr>
        <w:wordWrap/>
        <w:adjustRightInd/>
        <w:snapToGrid/>
        <w:spacing w:line="560" w:lineRule="exact"/>
        <w:ind w:firstLine="640" w:firstLineChars="200"/>
        <w:jc w:val="both"/>
        <w:textAlignment w:val="auto"/>
        <w:outlineLvl w:val="0"/>
        <w:rPr>
          <w:rFonts w:hint="default" w:ascii="黑体" w:hAnsi="黑体" w:eastAsia="黑体" w:cs="黑体"/>
          <w:color w:val="auto"/>
          <w:sz w:val="32"/>
          <w:szCs w:val="32"/>
          <w:lang w:val="en-US" w:eastAsia="zh-CN"/>
        </w:rPr>
      </w:pPr>
      <w:bookmarkStart w:id="5" w:name="_Toc22302"/>
      <w:bookmarkStart w:id="6" w:name="_Toc8245"/>
      <w:r>
        <w:rPr>
          <w:rFonts w:hint="eastAsia" w:ascii="黑体" w:hAnsi="黑体" w:eastAsia="黑体" w:cs="黑体"/>
          <w:color w:val="auto"/>
          <w:sz w:val="32"/>
          <w:szCs w:val="32"/>
          <w:lang w:val="en-US" w:eastAsia="zh-CN"/>
        </w:rPr>
        <w:t>五、事故整改和防范措施</w:t>
      </w:r>
      <w:bookmarkEnd w:id="5"/>
      <w:bookmarkEnd w:id="6"/>
    </w:p>
    <w:p>
      <w:pPr>
        <w:widowControl w:val="0"/>
        <w:wordWrap/>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lang w:val="en-US" w:eastAsia="zh-CN"/>
        </w:rPr>
        <w:t>1.</w:t>
      </w:r>
      <w:r>
        <w:rPr>
          <w:rFonts w:hint="default" w:ascii="仿宋_GB2312" w:hAnsi="仿宋_GB2312" w:eastAsia="仿宋_GB2312" w:cs="仿宋_GB2312"/>
          <w:sz w:val="32"/>
          <w:szCs w:val="32"/>
          <w:lang w:val="en" w:eastAsia="zh-CN"/>
        </w:rPr>
        <w:t>浙江万里扬智能压铸</w:t>
      </w:r>
      <w:r>
        <w:rPr>
          <w:rFonts w:hint="eastAsia" w:ascii="仿宋_GB2312" w:hAnsi="仿宋_GB2312" w:eastAsia="仿宋_GB2312" w:cs="仿宋_GB2312"/>
          <w:sz w:val="32"/>
          <w:szCs w:val="32"/>
          <w:lang w:val="en-US" w:eastAsia="zh-CN"/>
        </w:rPr>
        <w:t>有限公司要深刻吸取本次事故教训，举一反三，设置安全生产管理机构，配齐配足专职的安全生产管理人员，对厂区内使用的各类机械设备进行一次全面的维护保养，排查消除机械设备存在的安全隐患；要组织开展一次全员安全生产大培训，进一步提高员工的安全生产意识和自我防范能力；要落实安全生产责任制，完善相关安全生产管理制度和操作规程；并开展一次专项培训，教育和督促员工严格执行公司安全生产规章制度和安全操作规程；要加强公司现场安全管理，强化隐患风险排查，避免公司再次发生事故</w:t>
      </w:r>
      <w:r>
        <w:rPr>
          <w:rFonts w:hint="eastAsia" w:ascii="仿宋_GB2312" w:hAnsi="仿宋_GB2312" w:eastAsia="仿宋_GB2312" w:cs="仿宋_GB2312"/>
          <w:color w:val="auto"/>
          <w:sz w:val="32"/>
          <w:szCs w:val="32"/>
          <w:lang w:val="en-US" w:eastAsia="zh-CN"/>
        </w:rPr>
        <w:t>。</w:t>
      </w:r>
    </w:p>
    <w:p>
      <w:pPr>
        <w:widowControl w:val="0"/>
        <w:wordWrap/>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 w:eastAsia="zh-CN"/>
        </w:rPr>
        <w:t>2.</w:t>
      </w:r>
      <w:r>
        <w:rPr>
          <w:rFonts w:hint="eastAsia" w:ascii="仿宋_GB2312" w:hAnsi="仿宋_GB2312" w:eastAsia="仿宋_GB2312" w:cs="仿宋_GB2312"/>
          <w:color w:val="auto"/>
          <w:sz w:val="32"/>
          <w:szCs w:val="32"/>
          <w:lang w:val="en-US" w:eastAsia="zh-CN"/>
        </w:rPr>
        <w:t>江山经济开发区管理委员会要切实履行属地监管职责，将该起事故通报给辖区企业，指导服务企业自查自改，督促各企业严格履行安全生产主体责任，深入开展企业内部问题隐患自查自纠行动，切实堵塞安全漏洞，严防同类事故再次发生</w:t>
      </w:r>
      <w:r>
        <w:rPr>
          <w:rFonts w:hint="default" w:ascii="仿宋_GB2312" w:hAnsi="仿宋_GB2312" w:eastAsia="仿宋_GB2312" w:cs="仿宋_GB2312"/>
          <w:color w:val="auto"/>
          <w:sz w:val="32"/>
          <w:szCs w:val="32"/>
          <w:lang w:val="en" w:eastAsia="zh-CN"/>
        </w:rPr>
        <w:t>。</w:t>
      </w:r>
    </w:p>
    <w:p>
      <w:pPr>
        <w:widowControl w:val="0"/>
        <w:wordWrap/>
        <w:adjustRightInd/>
        <w:snapToGrid/>
        <w:spacing w:line="560" w:lineRule="exact"/>
        <w:ind w:firstLine="640" w:firstLineChars="200"/>
        <w:textAlignment w:val="auto"/>
        <w:outlineLvl w:val="9"/>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江山市应急管理局要加强有金属高温熔融工艺企业的安全监管，并对同类型企业开展一次事故警示教育和培训，督促企业吸取事故经验教训，开展自查自改，及时对发现的问题隐患进行整改，同时，进一步加强同类型企业安全生产执法检查力度，督促企业落实安全生产主体责任，严防同类事故再次发生</w:t>
      </w:r>
      <w:r>
        <w:rPr>
          <w:rFonts w:hint="default" w:ascii="仿宋_GB2312" w:hAnsi="仿宋_GB2312" w:eastAsia="仿宋_GB2312" w:cs="仿宋_GB2312"/>
          <w:color w:val="auto"/>
          <w:sz w:val="32"/>
          <w:szCs w:val="32"/>
          <w:lang w:val="en" w:eastAsia="zh-CN"/>
        </w:rPr>
        <w:t>。</w:t>
      </w:r>
    </w:p>
    <w:p>
      <w:pPr>
        <w:widowControl w:val="0"/>
        <w:wordWrap/>
        <w:adjustRightInd/>
        <w:snapToGrid/>
        <w:spacing w:line="560" w:lineRule="exact"/>
        <w:ind w:firstLine="640" w:firstLineChars="200"/>
        <w:textAlignment w:val="auto"/>
        <w:outlineLvl w:val="9"/>
        <w:rPr>
          <w:rFonts w:hint="eastAsia" w:ascii="仿宋_GB2312" w:hAnsi="仿宋_GB2312" w:eastAsia="仿宋_GB2312" w:cs="仿宋_GB2312"/>
          <w:b w:val="0"/>
          <w:bCs w:val="0"/>
          <w:i w:val="0"/>
          <w:caps w:val="0"/>
          <w:color w:val="auto"/>
          <w:spacing w:val="0"/>
          <w:sz w:val="32"/>
          <w:szCs w:val="32"/>
          <w:shd w:val="clear" w:color="auto" w:fill="FFFFFF"/>
          <w:lang w:val="en-US" w:eastAsia="zh-CN"/>
        </w:rPr>
      </w:pPr>
      <w:r>
        <w:rPr>
          <w:rFonts w:hint="eastAsia" w:ascii="仿宋_GB2312" w:hAnsi="仿宋_GB2312" w:eastAsia="仿宋_GB2312" w:cs="仿宋_GB2312"/>
          <w:b w:val="0"/>
          <w:bCs w:val="0"/>
          <w:i w:val="0"/>
          <w:caps w:val="0"/>
          <w:color w:val="auto"/>
          <w:spacing w:val="0"/>
          <w:sz w:val="32"/>
          <w:szCs w:val="32"/>
          <w:shd w:val="clear" w:color="auto" w:fill="FFFFFF"/>
          <w:lang w:val="en-US" w:eastAsia="zh-CN"/>
        </w:rPr>
        <w:t>以上所有涉及的整改工作，各单位应于收到本报告30日内完成，并在完成后15日内书面报告江山市安委办。</w:t>
      </w:r>
    </w:p>
    <w:p>
      <w:pPr>
        <w:widowControl w:val="0"/>
        <w:wordWrap/>
        <w:adjustRightInd/>
        <w:snapToGrid/>
        <w:spacing w:line="560" w:lineRule="exact"/>
        <w:ind w:left="0" w:leftChars="0" w:firstLine="645"/>
        <w:textAlignment w:val="auto"/>
        <w:outlineLvl w:val="0"/>
        <w:rPr>
          <w:rFonts w:hint="eastAsia" w:ascii="黑体" w:hAnsi="黑体" w:eastAsia="黑体" w:cs="黑体"/>
          <w:color w:val="auto"/>
          <w:sz w:val="32"/>
          <w:szCs w:val="32"/>
          <w:lang w:val="en-US" w:eastAsia="zh-CN"/>
        </w:rPr>
      </w:pPr>
      <w:bookmarkStart w:id="7" w:name="_Toc32441"/>
      <w:bookmarkStart w:id="8" w:name="_Toc19862"/>
      <w:r>
        <w:rPr>
          <w:rFonts w:hint="eastAsia" w:ascii="黑体" w:hAnsi="黑体" w:eastAsia="黑体" w:cs="黑体"/>
          <w:color w:val="auto"/>
          <w:sz w:val="32"/>
          <w:szCs w:val="32"/>
          <w:lang w:val="en-US" w:eastAsia="zh-CN"/>
        </w:rPr>
        <w:t>六、调查组成员签名</w:t>
      </w:r>
      <w:bookmarkEnd w:id="7"/>
      <w:bookmarkEnd w:id="8"/>
    </w:p>
    <w:tbl>
      <w:tblPr>
        <w:tblStyle w:val="6"/>
        <w:tblW w:w="87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2"/>
        <w:gridCol w:w="3195"/>
        <w:gridCol w:w="37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842" w:type="dxa"/>
            <w:vAlign w:val="top"/>
          </w:tcPr>
          <w:p>
            <w:pPr>
              <w:widowControl w:val="0"/>
              <w:wordWrap/>
              <w:adjustRightInd/>
              <w:snapToGrid/>
              <w:spacing w:line="560" w:lineRule="exact"/>
              <w:textAlignment w:val="auto"/>
              <w:outlineLvl w:val="9"/>
              <w:rPr>
                <w:rFonts w:hint="eastAsia" w:ascii="仿宋_GB2312" w:eastAsia="仿宋_GB2312"/>
                <w:color w:val="auto"/>
                <w:sz w:val="32"/>
                <w:szCs w:val="32"/>
                <w:lang w:val="en-US" w:eastAsia="zh-CN"/>
              </w:rPr>
            </w:pPr>
          </w:p>
        </w:tc>
        <w:tc>
          <w:tcPr>
            <w:tcW w:w="3195" w:type="dxa"/>
            <w:vAlign w:val="top"/>
          </w:tcPr>
          <w:p>
            <w:pPr>
              <w:widowControl w:val="0"/>
              <w:wordWrap/>
              <w:adjustRightInd/>
              <w:snapToGrid/>
              <w:spacing w:line="560" w:lineRule="exact"/>
              <w:jc w:val="center"/>
              <w:textAlignment w:val="auto"/>
              <w:outlineLvl w:val="9"/>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单位</w:t>
            </w:r>
          </w:p>
        </w:tc>
        <w:tc>
          <w:tcPr>
            <w:tcW w:w="3720" w:type="dxa"/>
            <w:vAlign w:val="top"/>
          </w:tcPr>
          <w:p>
            <w:pPr>
              <w:widowControl w:val="0"/>
              <w:wordWrap/>
              <w:adjustRightInd/>
              <w:snapToGrid/>
              <w:spacing w:line="560" w:lineRule="exact"/>
              <w:jc w:val="center"/>
              <w:textAlignment w:val="auto"/>
              <w:outlineLvl w:val="9"/>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842" w:type="dxa"/>
            <w:vAlign w:val="center"/>
          </w:tcPr>
          <w:p>
            <w:pPr>
              <w:widowControl w:val="0"/>
              <w:wordWrap/>
              <w:adjustRightInd/>
              <w:snapToGrid/>
              <w:spacing w:line="560" w:lineRule="exact"/>
              <w:jc w:val="center"/>
              <w:textAlignment w:val="auto"/>
              <w:outlineLvl w:val="9"/>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组长</w:t>
            </w:r>
          </w:p>
        </w:tc>
        <w:tc>
          <w:tcPr>
            <w:tcW w:w="3195" w:type="dxa"/>
            <w:vAlign w:val="top"/>
          </w:tcPr>
          <w:p>
            <w:pPr>
              <w:widowControl w:val="0"/>
              <w:wordWrap/>
              <w:adjustRightInd/>
              <w:snapToGrid/>
              <w:spacing w:line="560" w:lineRule="exact"/>
              <w:textAlignment w:val="auto"/>
              <w:outlineLvl w:val="9"/>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江山市应急管理局</w:t>
            </w:r>
          </w:p>
        </w:tc>
        <w:tc>
          <w:tcPr>
            <w:tcW w:w="3720" w:type="dxa"/>
            <w:vAlign w:val="top"/>
          </w:tcPr>
          <w:p>
            <w:pPr>
              <w:widowControl w:val="0"/>
              <w:wordWrap/>
              <w:adjustRightInd/>
              <w:snapToGrid/>
              <w:spacing w:line="560" w:lineRule="exact"/>
              <w:textAlignment w:val="auto"/>
              <w:outlineLvl w:val="9"/>
              <w:rPr>
                <w:rFonts w:hint="eastAsia" w:ascii="仿宋_GB2312" w:eastAsia="仿宋_GB2312"/>
                <w:color w:val="auto"/>
                <w:sz w:val="32"/>
                <w:szCs w:val="3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842" w:type="dxa"/>
            <w:vMerge w:val="restart"/>
            <w:vAlign w:val="center"/>
          </w:tcPr>
          <w:p>
            <w:pPr>
              <w:widowControl w:val="0"/>
              <w:wordWrap/>
              <w:adjustRightInd/>
              <w:snapToGrid/>
              <w:spacing w:line="560" w:lineRule="exact"/>
              <w:jc w:val="center"/>
              <w:textAlignment w:val="auto"/>
              <w:outlineLvl w:val="9"/>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 xml:space="preserve">                                                                                                                                                                                                                                                                                                                                                                                                                                                                                                                                                                                                                                                                                                                                                                                                                                                                                                                                                                                                                                                                                                                                                                                                                                                                                                                                                                                                                                                                                                                                                                                                                                                                                                                                                                                                                                                                                                                                                                                                                                                                                                                                                                           成员</w:t>
            </w:r>
          </w:p>
          <w:p>
            <w:pPr>
              <w:widowControl w:val="0"/>
              <w:wordWrap/>
              <w:adjustRightInd/>
              <w:snapToGrid/>
              <w:spacing w:line="560" w:lineRule="exact"/>
              <w:jc w:val="center"/>
              <w:textAlignment w:val="auto"/>
              <w:outlineLvl w:val="9"/>
              <w:rPr>
                <w:rFonts w:hint="default" w:ascii="仿宋_GB2312" w:eastAsia="仿宋_GB2312"/>
                <w:color w:val="auto"/>
                <w:sz w:val="32"/>
                <w:szCs w:val="32"/>
                <w:lang w:val="en-US" w:eastAsia="zh-CN"/>
              </w:rPr>
            </w:pPr>
          </w:p>
        </w:tc>
        <w:tc>
          <w:tcPr>
            <w:tcW w:w="3195" w:type="dxa"/>
            <w:vAlign w:val="top"/>
          </w:tcPr>
          <w:p>
            <w:pPr>
              <w:widowControl w:val="0"/>
              <w:wordWrap/>
              <w:adjustRightInd/>
              <w:snapToGrid/>
              <w:spacing w:line="560" w:lineRule="exact"/>
              <w:textAlignment w:val="auto"/>
              <w:outlineLvl w:val="9"/>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江山市公安局</w:t>
            </w:r>
          </w:p>
        </w:tc>
        <w:tc>
          <w:tcPr>
            <w:tcW w:w="3720" w:type="dxa"/>
            <w:vAlign w:val="top"/>
          </w:tcPr>
          <w:p>
            <w:pPr>
              <w:widowControl w:val="0"/>
              <w:wordWrap/>
              <w:adjustRightInd/>
              <w:snapToGrid/>
              <w:spacing w:line="560" w:lineRule="exact"/>
              <w:textAlignment w:val="auto"/>
              <w:outlineLvl w:val="9"/>
              <w:rPr>
                <w:rFonts w:hint="eastAsia" w:ascii="仿宋_GB2312" w:eastAsia="仿宋_GB2312"/>
                <w:color w:val="auto"/>
                <w:sz w:val="32"/>
                <w:szCs w:val="3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842" w:type="dxa"/>
            <w:vMerge w:val="continue"/>
            <w:vAlign w:val="center"/>
          </w:tcPr>
          <w:p>
            <w:pPr>
              <w:widowControl w:val="0"/>
              <w:wordWrap/>
              <w:adjustRightInd/>
              <w:snapToGrid/>
              <w:spacing w:line="560" w:lineRule="exact"/>
              <w:jc w:val="center"/>
              <w:textAlignment w:val="auto"/>
              <w:outlineLvl w:val="9"/>
              <w:rPr>
                <w:rFonts w:hint="eastAsia" w:ascii="仿宋_GB2312" w:eastAsia="仿宋_GB2312"/>
                <w:color w:val="auto"/>
                <w:sz w:val="32"/>
                <w:szCs w:val="32"/>
                <w:lang w:val="en-US" w:eastAsia="zh-CN"/>
              </w:rPr>
            </w:pPr>
          </w:p>
        </w:tc>
        <w:tc>
          <w:tcPr>
            <w:tcW w:w="3195" w:type="dxa"/>
            <w:vAlign w:val="top"/>
          </w:tcPr>
          <w:p>
            <w:pPr>
              <w:widowControl w:val="0"/>
              <w:wordWrap/>
              <w:adjustRightInd/>
              <w:snapToGrid/>
              <w:spacing w:line="560" w:lineRule="exact"/>
              <w:textAlignment w:val="auto"/>
              <w:outlineLvl w:val="9"/>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江山市总工会</w:t>
            </w:r>
          </w:p>
        </w:tc>
        <w:tc>
          <w:tcPr>
            <w:tcW w:w="3720" w:type="dxa"/>
            <w:vAlign w:val="top"/>
          </w:tcPr>
          <w:p>
            <w:pPr>
              <w:widowControl w:val="0"/>
              <w:wordWrap/>
              <w:adjustRightInd/>
              <w:snapToGrid/>
              <w:spacing w:line="560" w:lineRule="exact"/>
              <w:textAlignment w:val="auto"/>
              <w:outlineLvl w:val="9"/>
              <w:rPr>
                <w:rFonts w:hint="eastAsia" w:ascii="仿宋_GB2312" w:eastAsia="仿宋_GB2312"/>
                <w:color w:val="auto"/>
                <w:sz w:val="32"/>
                <w:szCs w:val="3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842" w:type="dxa"/>
            <w:vMerge w:val="continue"/>
            <w:vAlign w:val="center"/>
          </w:tcPr>
          <w:p>
            <w:pPr>
              <w:widowControl w:val="0"/>
              <w:wordWrap/>
              <w:adjustRightInd/>
              <w:snapToGrid/>
              <w:spacing w:line="560" w:lineRule="exact"/>
              <w:jc w:val="center"/>
              <w:textAlignment w:val="auto"/>
              <w:outlineLvl w:val="9"/>
              <w:rPr>
                <w:rFonts w:hint="eastAsia" w:ascii="仿宋_GB2312" w:eastAsia="仿宋_GB2312"/>
                <w:color w:val="auto"/>
                <w:sz w:val="32"/>
                <w:szCs w:val="32"/>
                <w:lang w:val="en-US" w:eastAsia="zh-CN"/>
              </w:rPr>
            </w:pPr>
          </w:p>
        </w:tc>
        <w:tc>
          <w:tcPr>
            <w:tcW w:w="3195" w:type="dxa"/>
            <w:vAlign w:val="top"/>
          </w:tcPr>
          <w:p>
            <w:pPr>
              <w:widowControl w:val="0"/>
              <w:wordWrap/>
              <w:adjustRightInd/>
              <w:snapToGrid/>
              <w:spacing w:line="560" w:lineRule="exact"/>
              <w:textAlignment w:val="auto"/>
              <w:outlineLvl w:val="9"/>
              <w:rPr>
                <w:rFonts w:hint="eastAsia" w:ascii="仿宋_GB2312" w:hAnsi="Calibri" w:eastAsia="仿宋_GB2312" w:cs="Times New Roman"/>
                <w:color w:val="auto"/>
                <w:kern w:val="2"/>
                <w:sz w:val="32"/>
                <w:szCs w:val="32"/>
                <w:lang w:val="en-US" w:eastAsia="zh-CN" w:bidi="ar-SA"/>
              </w:rPr>
            </w:pPr>
            <w:r>
              <w:rPr>
                <w:rFonts w:hint="eastAsia" w:ascii="仿宋_GB2312" w:eastAsia="仿宋_GB2312"/>
                <w:color w:val="auto"/>
                <w:sz w:val="32"/>
                <w:szCs w:val="32"/>
                <w:lang w:val="en-US" w:eastAsia="zh-CN"/>
              </w:rPr>
              <w:t>江山市应急管理局</w:t>
            </w:r>
          </w:p>
        </w:tc>
        <w:tc>
          <w:tcPr>
            <w:tcW w:w="3720" w:type="dxa"/>
            <w:vAlign w:val="top"/>
          </w:tcPr>
          <w:p>
            <w:pPr>
              <w:widowControl w:val="0"/>
              <w:wordWrap/>
              <w:adjustRightInd/>
              <w:snapToGrid/>
              <w:spacing w:line="560" w:lineRule="exact"/>
              <w:textAlignment w:val="auto"/>
              <w:outlineLvl w:val="9"/>
              <w:rPr>
                <w:rFonts w:hint="eastAsia" w:ascii="仿宋_GB2312" w:eastAsia="仿宋_GB2312"/>
                <w:color w:val="auto"/>
                <w:sz w:val="32"/>
                <w:szCs w:val="3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842" w:type="dxa"/>
            <w:vMerge w:val="continue"/>
            <w:vAlign w:val="center"/>
          </w:tcPr>
          <w:p>
            <w:pPr>
              <w:widowControl w:val="0"/>
              <w:wordWrap/>
              <w:adjustRightInd/>
              <w:snapToGrid/>
              <w:spacing w:line="560" w:lineRule="exact"/>
              <w:jc w:val="center"/>
              <w:textAlignment w:val="auto"/>
              <w:outlineLvl w:val="9"/>
              <w:rPr>
                <w:rFonts w:hint="default" w:ascii="仿宋_GB2312" w:eastAsia="仿宋_GB2312"/>
                <w:color w:val="auto"/>
                <w:sz w:val="32"/>
                <w:szCs w:val="32"/>
                <w:lang w:val="en-US" w:eastAsia="zh-CN"/>
              </w:rPr>
            </w:pPr>
          </w:p>
        </w:tc>
        <w:tc>
          <w:tcPr>
            <w:tcW w:w="3195" w:type="dxa"/>
            <w:vAlign w:val="top"/>
          </w:tcPr>
          <w:p>
            <w:pPr>
              <w:widowControl w:val="0"/>
              <w:wordWrap/>
              <w:adjustRightInd/>
              <w:snapToGrid/>
              <w:spacing w:line="560" w:lineRule="exact"/>
              <w:textAlignment w:val="auto"/>
              <w:outlineLvl w:val="9"/>
              <w:rPr>
                <w:rFonts w:hint="eastAsia" w:ascii="仿宋_GB2312" w:hAnsi="Calibri" w:eastAsia="仿宋_GB2312" w:cs="黑体"/>
                <w:color w:val="auto"/>
                <w:kern w:val="2"/>
                <w:sz w:val="32"/>
                <w:szCs w:val="32"/>
                <w:lang w:val="en-US" w:eastAsia="zh-CN" w:bidi="ar-SA"/>
              </w:rPr>
            </w:pPr>
            <w:r>
              <w:rPr>
                <w:rFonts w:hint="eastAsia" w:ascii="仿宋_GB2312" w:eastAsia="仿宋_GB2312"/>
                <w:color w:val="auto"/>
                <w:sz w:val="32"/>
                <w:szCs w:val="32"/>
                <w:lang w:val="en-US" w:eastAsia="zh-CN"/>
              </w:rPr>
              <w:t>江山市应急管理局</w:t>
            </w:r>
          </w:p>
        </w:tc>
        <w:tc>
          <w:tcPr>
            <w:tcW w:w="3720" w:type="dxa"/>
            <w:vAlign w:val="top"/>
          </w:tcPr>
          <w:p>
            <w:pPr>
              <w:widowControl w:val="0"/>
              <w:wordWrap/>
              <w:adjustRightInd/>
              <w:snapToGrid/>
              <w:spacing w:line="560" w:lineRule="exact"/>
              <w:textAlignment w:val="auto"/>
              <w:outlineLvl w:val="9"/>
              <w:rPr>
                <w:rFonts w:hint="eastAsia" w:ascii="仿宋_GB2312" w:eastAsia="仿宋_GB2312"/>
                <w:color w:val="auto"/>
                <w:sz w:val="32"/>
                <w:szCs w:val="3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842" w:type="dxa"/>
            <w:vMerge w:val="restart"/>
            <w:vAlign w:val="center"/>
          </w:tcPr>
          <w:p>
            <w:pPr>
              <w:widowControl w:val="0"/>
              <w:wordWrap/>
              <w:adjustRightInd/>
              <w:snapToGrid/>
              <w:spacing w:line="560" w:lineRule="exact"/>
              <w:jc w:val="center"/>
              <w:textAlignment w:val="auto"/>
              <w:outlineLvl w:val="9"/>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邀请人员</w:t>
            </w:r>
          </w:p>
        </w:tc>
        <w:tc>
          <w:tcPr>
            <w:tcW w:w="3195" w:type="dxa"/>
            <w:vAlign w:val="top"/>
          </w:tcPr>
          <w:p>
            <w:pPr>
              <w:widowControl w:val="0"/>
              <w:wordWrap/>
              <w:adjustRightInd/>
              <w:snapToGrid/>
              <w:spacing w:line="560" w:lineRule="exact"/>
              <w:textAlignment w:val="auto"/>
              <w:outlineLvl w:val="9"/>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江山市纪委市监委</w:t>
            </w:r>
          </w:p>
        </w:tc>
        <w:tc>
          <w:tcPr>
            <w:tcW w:w="3720" w:type="dxa"/>
            <w:vAlign w:val="top"/>
          </w:tcPr>
          <w:p>
            <w:pPr>
              <w:widowControl w:val="0"/>
              <w:wordWrap/>
              <w:adjustRightInd/>
              <w:snapToGrid/>
              <w:spacing w:line="560" w:lineRule="exact"/>
              <w:textAlignment w:val="auto"/>
              <w:outlineLvl w:val="9"/>
              <w:rPr>
                <w:rFonts w:hint="eastAsia" w:ascii="仿宋_GB2312" w:eastAsia="仿宋_GB2312"/>
                <w:color w:val="auto"/>
                <w:sz w:val="32"/>
                <w:szCs w:val="3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842" w:type="dxa"/>
            <w:vMerge w:val="continue"/>
            <w:vAlign w:val="center"/>
          </w:tcPr>
          <w:p>
            <w:pPr>
              <w:widowControl w:val="0"/>
              <w:wordWrap/>
              <w:adjustRightInd/>
              <w:snapToGrid/>
              <w:spacing w:line="560" w:lineRule="exact"/>
              <w:jc w:val="center"/>
              <w:textAlignment w:val="auto"/>
              <w:outlineLvl w:val="9"/>
              <w:rPr>
                <w:rFonts w:hint="eastAsia" w:ascii="仿宋_GB2312" w:eastAsia="仿宋_GB2312"/>
                <w:color w:val="auto"/>
                <w:sz w:val="32"/>
                <w:szCs w:val="32"/>
                <w:lang w:val="en-US" w:eastAsia="zh-CN"/>
              </w:rPr>
            </w:pPr>
          </w:p>
        </w:tc>
        <w:tc>
          <w:tcPr>
            <w:tcW w:w="3195" w:type="dxa"/>
            <w:vAlign w:val="top"/>
          </w:tcPr>
          <w:p>
            <w:pPr>
              <w:widowControl w:val="0"/>
              <w:wordWrap/>
              <w:adjustRightInd/>
              <w:snapToGrid/>
              <w:spacing w:line="560" w:lineRule="exact"/>
              <w:textAlignment w:val="auto"/>
              <w:outlineLvl w:val="9"/>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江山</w:t>
            </w:r>
            <w:r>
              <w:rPr>
                <w:rFonts w:hint="eastAsia" w:ascii="仿宋_GB2312" w:hAnsi="Calibri" w:eastAsia="仿宋_GB2312" w:cs="Times New Roman"/>
                <w:color w:val="auto"/>
                <w:kern w:val="2"/>
                <w:sz w:val="32"/>
                <w:szCs w:val="32"/>
                <w:lang w:val="en-US" w:eastAsia="zh-CN" w:bidi="ar-SA"/>
              </w:rPr>
              <w:t>市</w:t>
            </w:r>
            <w:r>
              <w:rPr>
                <w:rFonts w:hint="eastAsia" w:ascii="仿宋_GB2312" w:eastAsia="仿宋_GB2312" w:cs="Times New Roman"/>
                <w:color w:val="auto"/>
                <w:kern w:val="2"/>
                <w:sz w:val="32"/>
                <w:szCs w:val="32"/>
                <w:lang w:val="en-US" w:eastAsia="zh-CN" w:bidi="ar-SA"/>
              </w:rPr>
              <w:t>人民</w:t>
            </w:r>
            <w:r>
              <w:rPr>
                <w:rFonts w:hint="eastAsia" w:ascii="仿宋_GB2312" w:hAnsi="Calibri" w:eastAsia="仿宋_GB2312" w:cs="Times New Roman"/>
                <w:color w:val="auto"/>
                <w:kern w:val="2"/>
                <w:sz w:val="32"/>
                <w:szCs w:val="32"/>
                <w:lang w:val="en-US" w:eastAsia="zh-CN" w:bidi="ar-SA"/>
              </w:rPr>
              <w:t>检察院</w:t>
            </w:r>
          </w:p>
        </w:tc>
        <w:tc>
          <w:tcPr>
            <w:tcW w:w="3720" w:type="dxa"/>
            <w:vAlign w:val="top"/>
          </w:tcPr>
          <w:p>
            <w:pPr>
              <w:widowControl w:val="0"/>
              <w:wordWrap/>
              <w:adjustRightInd/>
              <w:snapToGrid/>
              <w:spacing w:line="560" w:lineRule="exact"/>
              <w:textAlignment w:val="auto"/>
              <w:outlineLvl w:val="9"/>
              <w:rPr>
                <w:rFonts w:hint="eastAsia" w:ascii="仿宋_GB2312" w:eastAsia="仿宋_GB2312"/>
                <w:color w:val="auto"/>
                <w:sz w:val="32"/>
                <w:szCs w:val="32"/>
                <w:lang w:val="en-US" w:eastAsia="zh-CN"/>
              </w:rPr>
            </w:pPr>
          </w:p>
        </w:tc>
      </w:tr>
    </w:tbl>
    <w:p>
      <w:pPr>
        <w:widowControl w:val="0"/>
        <w:wordWrap/>
        <w:adjustRightInd/>
        <w:snapToGrid/>
        <w:spacing w:line="560" w:lineRule="exact"/>
        <w:jc w:val="center"/>
        <w:textAlignment w:val="auto"/>
        <w:rPr>
          <w:rFonts w:hint="eastAsia" w:ascii="仿宋_GB2312" w:eastAsia="仿宋_GB2312"/>
          <w:color w:val="auto"/>
          <w:spacing w:val="-20"/>
          <w:sz w:val="32"/>
          <w:szCs w:val="32"/>
          <w:lang w:val="en-US" w:eastAsia="zh-CN"/>
        </w:rPr>
      </w:pPr>
      <w:r>
        <w:rPr>
          <w:rFonts w:hint="eastAsia" w:ascii="仿宋_GB2312" w:eastAsia="仿宋_GB2312"/>
          <w:color w:val="auto"/>
          <w:spacing w:val="-20"/>
          <w:sz w:val="32"/>
          <w:szCs w:val="32"/>
          <w:lang w:val="en-US" w:eastAsia="zh-CN"/>
        </w:rPr>
        <w:t xml:space="preserve">                           </w:t>
      </w:r>
    </w:p>
    <w:p>
      <w:pPr>
        <w:widowControl w:val="0"/>
        <w:wordWrap/>
        <w:adjustRightInd/>
        <w:snapToGrid/>
        <w:spacing w:line="560" w:lineRule="exact"/>
        <w:jc w:val="right"/>
        <w:textAlignment w:val="auto"/>
        <w:rPr>
          <w:rFonts w:hint="eastAsia" w:ascii="仿宋_GB2312" w:eastAsia="仿宋_GB2312"/>
          <w:color w:val="auto"/>
          <w:spacing w:val="-20"/>
          <w:sz w:val="32"/>
          <w:szCs w:val="32"/>
          <w:lang w:val="en-US" w:eastAsia="zh-CN"/>
        </w:rPr>
      </w:pPr>
      <w:r>
        <w:rPr>
          <w:rFonts w:hint="eastAsia" w:ascii="仿宋_GB2312" w:eastAsia="仿宋_GB2312"/>
          <w:color w:val="auto"/>
          <w:spacing w:val="-20"/>
          <w:sz w:val="32"/>
          <w:szCs w:val="32"/>
          <w:lang w:val="en-US" w:eastAsia="zh-CN"/>
        </w:rPr>
        <w:t xml:space="preserve">  江山经济开发区浙江万里扬智能压铸有限公司“7·11”</w:t>
      </w:r>
    </w:p>
    <w:p>
      <w:pPr>
        <w:widowControl w:val="0"/>
        <w:wordWrap/>
        <w:adjustRightInd/>
        <w:snapToGrid/>
        <w:spacing w:line="560" w:lineRule="exact"/>
        <w:jc w:val="center"/>
        <w:textAlignment w:val="auto"/>
        <w:rPr>
          <w:rFonts w:hint="eastAsia" w:ascii="仿宋_GB2312" w:eastAsia="仿宋_GB2312"/>
          <w:color w:val="auto"/>
          <w:sz w:val="32"/>
          <w:szCs w:val="32"/>
          <w:lang w:val="en-US" w:eastAsia="zh-CN"/>
        </w:rPr>
      </w:pPr>
      <w:r>
        <w:rPr>
          <w:rFonts w:hint="eastAsia" w:ascii="仿宋_GB2312" w:eastAsia="仿宋_GB2312"/>
          <w:color w:val="auto"/>
          <w:spacing w:val="-20"/>
          <w:sz w:val="32"/>
          <w:szCs w:val="32"/>
          <w:lang w:val="en-US" w:eastAsia="zh-CN"/>
        </w:rPr>
        <w:t xml:space="preserve">                  一般机械伤害事故调查组</w:t>
      </w:r>
    </w:p>
    <w:p>
      <w:pPr>
        <w:widowControl w:val="0"/>
        <w:wordWrap/>
        <w:adjustRightInd/>
        <w:snapToGrid/>
        <w:spacing w:line="560" w:lineRule="exact"/>
        <w:ind w:firstLine="4480" w:firstLineChars="1400"/>
        <w:textAlignment w:val="auto"/>
        <w:rPr>
          <w:rFonts w:hint="default"/>
          <w:sz w:val="32"/>
          <w:szCs w:val="32"/>
          <w:lang w:val="en-US" w:eastAsia="zh-CN"/>
        </w:rPr>
      </w:pPr>
      <w:r>
        <w:rPr>
          <w:rFonts w:hint="eastAsia" w:ascii="仿宋_GB2312" w:eastAsia="仿宋_GB2312"/>
          <w:color w:val="auto"/>
          <w:sz w:val="32"/>
          <w:szCs w:val="32"/>
          <w:lang w:val="en-US" w:eastAsia="zh-CN"/>
        </w:rPr>
        <w:t>2025年</w:t>
      </w:r>
      <w:r>
        <w:rPr>
          <w:rFonts w:hint="eastAsia" w:ascii="仿宋_GB2312" w:eastAsia="仿宋_GB2312"/>
          <w:color w:val="auto"/>
          <w:spacing w:val="-20"/>
          <w:sz w:val="32"/>
          <w:szCs w:val="32"/>
          <w:lang w:val="en-US" w:eastAsia="zh-CN"/>
        </w:rPr>
        <w:t>9月9日</w:t>
      </w:r>
    </w:p>
    <w:sectPr>
      <w:footerReference r:id="rId6" w:type="default"/>
      <w:footnotePr>
        <w:numFmt w:val="decimalEnclosedCircleChinese"/>
        <w:numRestart w:val="eachPage"/>
      </w:footnotePr>
      <w:pgSz w:w="11906" w:h="16838"/>
      <w:pgMar w:top="2041" w:right="1474" w:bottom="1928" w:left="1587"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ascii="Calibri" w:hAnsi="Calibri" w:eastAsia="宋体" w:cs="黑体"/>
        <w:kern w:val="2"/>
        <w:sz w:val="18"/>
        <w:szCs w:val="24"/>
        <w:lang w:val="en-US" w:eastAsia="zh-CN" w:bidi="ar-SA"/>
      </w:rPr>
      <w:pict>
        <v:rect id="文本框 1" o:spid="_x0000_s4097" o:spt="1" style="position:absolute;left:0pt;margin-top:0pt;height:144pt;width:144pt;mso-position-horizontal:center;mso-position-horizontal-relative:margin;mso-wrap-style:none;z-index:251659264;mso-width-relative:page;mso-height-relative:page;" fillcolor="#FFFFFF" filled="f" o:preferrelative="t" stroked="f" coordsize="21600,21600">
          <v:path/>
          <v:fill on="f" color2="#FFFFFF" focussize="0,0"/>
          <v:stroke on="f"/>
          <v:imagedata gain="65536f" blacklevel="0f" gamma="0" o:title=""/>
          <o:lock v:ext="edit" position="f" selection="f" grouping="f" rotation="f" cropping="f" text="f" aspectratio="f"/>
          <v:textbox inset="0mm,0mm,0mm,0mm" style="mso-fit-shape-to-text:t;">
            <w:txbxContent>
              <w:p>
                <w:pPr>
                  <w:pStyle w:val="3"/>
                  <w:rPr>
                    <w:rFonts w:hint="eastAsia" w:ascii="宋体" w:hAnsi="宋体" w:eastAsia="宋体" w:cs="宋体"/>
                    <w:sz w:val="28"/>
                    <w:szCs w:val="28"/>
                    <w:lang w:val="en-US" w:eastAsia="zh-CN"/>
                  </w:rPr>
                </w:pPr>
              </w:p>
            </w:txbxContent>
          </v:textbox>
        </v:rect>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ascii="Calibri" w:hAnsi="Calibri" w:eastAsia="宋体" w:cs="黑体"/>
        <w:kern w:val="2"/>
        <w:sz w:val="18"/>
        <w:szCs w:val="24"/>
        <w:lang w:val="en-US" w:eastAsia="zh-CN" w:bidi="ar-SA"/>
      </w:rPr>
      <w:pict>
        <v:rect id="文本框 7" o:spid="_x0000_s4098" o:spt="1" style="position:absolute;left:0pt;margin-top:0pt;height:144pt;width:144pt;mso-position-horizontal:center;mso-position-horizontal-relative:margin;mso-wrap-style:none;z-index:251661312;mso-width-relative:page;mso-height-relative:page;" fillcolor="#FFFFFF" filled="f" o:preferrelative="t" stroked="f" coordsize="21600,21600">
          <v:path/>
          <v:fill on="f" color2="#FFFFFF" focussize="0,0"/>
          <v:stroke on="f"/>
          <v:imagedata gain="65536f" blacklevel="0f" gamma="0" o:title=""/>
          <o:lock v:ext="edit" position="f" selection="f" grouping="f" rotation="f" cropping="f" text="f" aspectratio="f"/>
          <v:textbox inset="0mm,0mm,0mm,0mm" style="mso-fit-shape-to-text:t;">
            <w:txbxContent>
              <w:p>
                <w:pPr>
                  <w:pStyle w:val="3"/>
                  <w:rPr>
                    <w:rFonts w:hint="eastAsia" w:ascii="宋体" w:hAnsi="宋体" w:eastAsia="宋体" w:cs="宋体"/>
                    <w:sz w:val="28"/>
                    <w:szCs w:val="28"/>
                    <w:lang w:val="en-US" w:eastAsia="zh-CN"/>
                  </w:rPr>
                </w:pPr>
              </w:p>
            </w:txbxContent>
          </v:textbox>
        </v:rect>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ascii="Calibri" w:hAnsi="Calibri" w:eastAsia="宋体" w:cs="黑体"/>
        <w:kern w:val="2"/>
        <w:sz w:val="18"/>
        <w:szCs w:val="24"/>
        <w:lang w:val="en-US" w:eastAsia="zh-CN" w:bidi="ar-SA"/>
      </w:rPr>
      <w:pict>
        <v:rect id="文本框 5" o:spid="_x0000_s4099" o:spt="1" style="position:absolute;left:0pt;margin-top:0pt;height:144pt;width:144pt;mso-position-horizontal:center;mso-position-horizontal-relative:margin;mso-wrap-style:none;z-index:251660288;mso-width-relative:page;mso-height-relative:page;" fillcolor="#FFFFFF" filled="f" o:preferrelative="t" stroked="f" coordsize="21600,21600">
          <v:path/>
          <v:fill on="f" color2="#FFFFFF" focussize="0,0"/>
          <v:stroke on="f"/>
          <v:imagedata gain="65536f" blacklevel="0f" gamma="0" o:title=""/>
          <o:lock v:ext="edit" position="f" selection="f" grouping="f" rotation="f" cropping="f" text="f" aspectratio="f"/>
          <v:textbox inset="0mm,0mm,0mm,0mm" style="mso-fit-shape-to-text:t;">
            <w:txbxContent>
              <w:p>
                <w:pPr>
                  <w:pStyle w:val="3"/>
                  <w:rPr>
                    <w:rFonts w:hint="eastAsia" w:ascii="仿宋_GB2312" w:hAnsi="仿宋_GB2312" w:eastAsia="仿宋_GB2312" w:cs="仿宋_GB2312"/>
                    <w:sz w:val="28"/>
                    <w:szCs w:val="44"/>
                  </w:rPr>
                </w:pPr>
                <w:r>
                  <w:rPr>
                    <w:rFonts w:hint="eastAsia" w:ascii="仿宋_GB2312" w:hAnsi="仿宋_GB2312" w:eastAsia="仿宋_GB2312" w:cs="仿宋_GB2312"/>
                    <w:sz w:val="28"/>
                    <w:szCs w:val="44"/>
                  </w:rPr>
                  <w:fldChar w:fldCharType="begin"/>
                </w:r>
                <w:r>
                  <w:rPr>
                    <w:rFonts w:hint="eastAsia" w:ascii="仿宋_GB2312" w:hAnsi="仿宋_GB2312" w:eastAsia="仿宋_GB2312" w:cs="仿宋_GB2312"/>
                    <w:sz w:val="28"/>
                    <w:szCs w:val="44"/>
                  </w:rPr>
                  <w:instrText xml:space="preserve"> PAGE  \* MERGEFORMAT </w:instrText>
                </w:r>
                <w:r>
                  <w:rPr>
                    <w:rFonts w:hint="eastAsia" w:ascii="仿宋_GB2312" w:hAnsi="仿宋_GB2312" w:eastAsia="仿宋_GB2312" w:cs="仿宋_GB2312"/>
                    <w:sz w:val="28"/>
                    <w:szCs w:val="44"/>
                  </w:rPr>
                  <w:fldChar w:fldCharType="separate"/>
                </w:r>
                <w:r>
                  <w:rPr>
                    <w:rFonts w:hint="eastAsia" w:ascii="仿宋_GB2312" w:hAnsi="仿宋_GB2312" w:eastAsia="仿宋_GB2312" w:cs="仿宋_GB2312"/>
                    <w:sz w:val="28"/>
                    <w:szCs w:val="44"/>
                  </w:rPr>
                  <w:t>1</w:t>
                </w:r>
                <w:r>
                  <w:rPr>
                    <w:rFonts w:hint="eastAsia" w:ascii="仿宋_GB2312" w:hAnsi="仿宋_GB2312" w:eastAsia="仿宋_GB2312" w:cs="仿宋_GB2312"/>
                    <w:sz w:val="28"/>
                    <w:szCs w:val="44"/>
                  </w:rPr>
                  <w:fldChar w:fldCharType="end"/>
                </w:r>
              </w:p>
            </w:txbxContent>
          </v:textbox>
        </v:rect>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4">
    <w:p>
      <w:r>
        <w:separator/>
      </w:r>
    </w:p>
  </w:footnote>
  <w:footnote w:type="continuationSeparator" w:id="15">
    <w:p>
      <w:r>
        <w:continuationSeparator/>
      </w:r>
    </w:p>
  </w:footnote>
  <w:footnote w:id="0">
    <w:p>
      <w:pPr>
        <w:pStyle w:val="5"/>
        <w:snapToGrid w:val="0"/>
      </w:pPr>
      <w:r>
        <w:rPr>
          <w:rFonts w:hint="eastAsia" w:asciiTheme="minorEastAsia" w:hAnsiTheme="minorEastAsia" w:eastAsiaTheme="minorEastAsia" w:cstheme="minorEastAsia"/>
          <w:kern w:val="2"/>
          <w:sz w:val="18"/>
          <w:szCs w:val="18"/>
          <w:lang w:val="en-US" w:eastAsia="zh-CN" w:bidi="ar-SA"/>
        </w:rPr>
        <w:footnoteRef/>
      </w:r>
      <w:r>
        <w:rPr>
          <w:rFonts w:hint="eastAsia" w:asciiTheme="minorEastAsia" w:hAnsiTheme="minorEastAsia" w:eastAsiaTheme="minorEastAsia" w:cstheme="minorEastAsia"/>
          <w:kern w:val="2"/>
          <w:sz w:val="18"/>
          <w:szCs w:val="18"/>
          <w:lang w:val="en-US" w:eastAsia="zh-CN" w:bidi="ar-SA"/>
        </w:rPr>
        <w:t xml:space="preserve"> 《中华人民共和国安全生产法》</w:t>
      </w:r>
      <w:r>
        <w:rPr>
          <w:rFonts w:hint="eastAsia"/>
        </w:rPr>
        <w:t>第二十四条</w:t>
      </w:r>
      <w:r>
        <w:rPr>
          <w:rFonts w:hint="eastAsia"/>
          <w:lang w:val="en-US" w:eastAsia="zh-CN"/>
        </w:rPr>
        <w:t>第一款：</w:t>
      </w:r>
      <w:r>
        <w:rPr>
          <w:rFonts w:hint="eastAsia"/>
        </w:rPr>
        <w:t>矿山、金属冶炼、建筑施工、运输单位和危险物品的生产、经营、储存、装卸单位，应当设置安全生产管理机构或者配备专职安全生产管理人员。</w:t>
      </w:r>
    </w:p>
  </w:footnote>
  <w:footnote w:id="1">
    <w:p>
      <w:pPr>
        <w:pStyle w:val="5"/>
        <w:snapToGrid w:val="0"/>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kern w:val="2"/>
          <w:sz w:val="18"/>
          <w:szCs w:val="18"/>
          <w:lang w:val="en-US" w:eastAsia="zh-CN" w:bidi="ar-SA"/>
        </w:rPr>
        <w:footnoteRef/>
      </w:r>
      <w:r>
        <w:rPr>
          <w:rFonts w:hint="eastAsia" w:asciiTheme="minorEastAsia" w:hAnsiTheme="minorEastAsia" w:eastAsiaTheme="minorEastAsia" w:cstheme="minorEastAsia"/>
          <w:kern w:val="2"/>
          <w:sz w:val="18"/>
          <w:szCs w:val="18"/>
          <w:lang w:val="en-US" w:eastAsia="zh-CN" w:bidi="ar-SA"/>
        </w:rPr>
        <w:t xml:space="preserve"> 《中华人民共和国安全生产法》第五十一条第二款：国家鼓励生产经营单位投保安全生产责任保险；属于国家规定的高危行业、领域的生产经营单位，应当投保安全生产责任保险。具体范围和实施办法由国务院应急管理部门会同国务院财政部门、国务院保险监督管理机构和相关行业主管部门制定。</w:t>
      </w:r>
    </w:p>
  </w:footnote>
  <w:footnote w:id="2">
    <w:p>
      <w:pPr>
        <w:pStyle w:val="5"/>
        <w:snapToGrid w:val="0"/>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kern w:val="2"/>
          <w:sz w:val="18"/>
          <w:szCs w:val="18"/>
          <w:lang w:val="en-US" w:eastAsia="zh-CN" w:bidi="ar-SA"/>
        </w:rPr>
        <w:footnoteRef/>
      </w:r>
      <w:r>
        <w:rPr>
          <w:rFonts w:hint="eastAsia" w:asciiTheme="minorEastAsia" w:hAnsiTheme="minorEastAsia" w:eastAsiaTheme="minorEastAsia" w:cstheme="minorEastAsia"/>
          <w:kern w:val="2"/>
          <w:sz w:val="18"/>
          <w:szCs w:val="18"/>
          <w:lang w:val="en-US" w:eastAsia="zh-CN" w:bidi="ar-SA"/>
        </w:rPr>
        <w:t>《中华人民共和国安全生产法》第二十一条第（二）项：生产经营单位的主要负责人对本单位安全生产工作负有下列职责:（二）组织制定并实施本单位安全生产规章制度和操作规程。</w:t>
      </w:r>
    </w:p>
  </w:footnote>
  <w:footnote w:id="3">
    <w:p>
      <w:pPr>
        <w:pStyle w:val="5"/>
        <w:snapToGrid w:val="0"/>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kern w:val="2"/>
          <w:sz w:val="18"/>
          <w:szCs w:val="18"/>
          <w:lang w:val="en-US" w:eastAsia="zh-CN" w:bidi="ar-SA"/>
        </w:rPr>
        <w:footnoteRef/>
      </w:r>
      <w:r>
        <w:rPr>
          <w:rFonts w:hint="eastAsia" w:asciiTheme="minorEastAsia" w:hAnsiTheme="minorEastAsia" w:eastAsiaTheme="minorEastAsia" w:cstheme="minorEastAsia"/>
          <w:kern w:val="2"/>
          <w:sz w:val="18"/>
          <w:szCs w:val="18"/>
          <w:lang w:val="en-US" w:eastAsia="zh-CN" w:bidi="ar-SA"/>
        </w:rPr>
        <w:t>《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footnote>
  <w:footnote w:id="4">
    <w:p>
      <w:pPr>
        <w:pStyle w:val="5"/>
        <w:snapToGrid w:val="0"/>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kern w:val="2"/>
          <w:sz w:val="18"/>
          <w:szCs w:val="18"/>
          <w:lang w:val="en-US" w:eastAsia="zh-CN" w:bidi="ar-SA"/>
        </w:rPr>
        <w:footnoteRef/>
      </w:r>
      <w:r>
        <w:rPr>
          <w:rFonts w:hint="eastAsia" w:asciiTheme="minorEastAsia" w:hAnsiTheme="minorEastAsia" w:eastAsiaTheme="minorEastAsia" w:cstheme="minorEastAsia"/>
          <w:kern w:val="2"/>
          <w:sz w:val="18"/>
          <w:szCs w:val="18"/>
          <w:lang w:val="en-US" w:eastAsia="zh-CN" w:bidi="ar-SA"/>
        </w:rPr>
        <w:t xml:space="preserve"> 《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5">
    <w:p>
      <w:pPr>
        <w:pStyle w:val="5"/>
        <w:snapToGrid w:val="0"/>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kern w:val="2"/>
          <w:sz w:val="18"/>
          <w:szCs w:val="18"/>
          <w:lang w:val="en-US" w:eastAsia="zh-CN" w:bidi="ar-SA"/>
        </w:rPr>
        <w:footnoteRef/>
      </w:r>
      <w:r>
        <w:rPr>
          <w:rFonts w:hint="eastAsia" w:asciiTheme="minorEastAsia" w:hAnsiTheme="minorEastAsia" w:eastAsiaTheme="minorEastAsia" w:cstheme="minorEastAsia"/>
          <w:kern w:val="2"/>
          <w:sz w:val="18"/>
          <w:szCs w:val="18"/>
          <w:lang w:val="en-US" w:eastAsia="zh-CN" w:bidi="ar-SA"/>
        </w:rPr>
        <w:t>《中华人民共和国安全生产法》第二十一条第（二）项：生产经营单位的主要负责人对本单位安全生产工作负有下列职责:（二）组织制定并实施本单位安全生产规章制度和操作规程。</w:t>
      </w:r>
    </w:p>
  </w:footnote>
  <w:footnote w:id="6">
    <w:p>
      <w:pPr>
        <w:pStyle w:val="5"/>
        <w:snapToGrid w:val="0"/>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kern w:val="2"/>
          <w:sz w:val="18"/>
          <w:szCs w:val="18"/>
          <w:lang w:val="en-US" w:eastAsia="zh-CN" w:bidi="ar-SA"/>
        </w:rPr>
        <w:footnoteRef/>
      </w:r>
      <w:r>
        <w:rPr>
          <w:rFonts w:hint="eastAsia" w:asciiTheme="minorEastAsia" w:hAnsiTheme="minorEastAsia" w:eastAsiaTheme="minorEastAsia" w:cstheme="minorEastAsia"/>
          <w:kern w:val="2"/>
          <w:sz w:val="18"/>
          <w:szCs w:val="18"/>
          <w:lang w:val="en-US" w:eastAsia="zh-CN" w:bidi="ar-SA"/>
        </w:rPr>
        <w:t>《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EF109B"/>
    <w:multiLevelType w:val="singleLevel"/>
    <w:tmpl w:val="E7EF109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hdrShapeDefaults>
    <o:shapelayout v:ext="edit">
      <o:idmap v:ext="edit" data="3,4"/>
    </o:shapelayout>
  </w:hdrShapeDefaults>
  <w:footnotePr>
    <w:footnote w:id="14"/>
    <w:footnote w:id="15"/>
  </w:foot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0000"/>
    <w:rsid w:val="01D86637"/>
    <w:rsid w:val="039447DF"/>
    <w:rsid w:val="05ED1190"/>
    <w:rsid w:val="06E273D5"/>
    <w:rsid w:val="0B007F59"/>
    <w:rsid w:val="0EFEFE65"/>
    <w:rsid w:val="14487860"/>
    <w:rsid w:val="187D363C"/>
    <w:rsid w:val="196842EC"/>
    <w:rsid w:val="19A02AFE"/>
    <w:rsid w:val="1DD5DBD4"/>
    <w:rsid w:val="1F3E2BFD"/>
    <w:rsid w:val="1FEB2B46"/>
    <w:rsid w:val="276E3E5D"/>
    <w:rsid w:val="27F7228D"/>
    <w:rsid w:val="28597325"/>
    <w:rsid w:val="294C0340"/>
    <w:rsid w:val="2AFF8BA3"/>
    <w:rsid w:val="2B5AA60A"/>
    <w:rsid w:val="2DFE0790"/>
    <w:rsid w:val="2EAF02C6"/>
    <w:rsid w:val="3236068C"/>
    <w:rsid w:val="337FF0EC"/>
    <w:rsid w:val="37BA2838"/>
    <w:rsid w:val="3D363C7F"/>
    <w:rsid w:val="3EC96664"/>
    <w:rsid w:val="3F51605E"/>
    <w:rsid w:val="3FDABEE2"/>
    <w:rsid w:val="40D2329F"/>
    <w:rsid w:val="40E81285"/>
    <w:rsid w:val="44F952E6"/>
    <w:rsid w:val="4B9E10E4"/>
    <w:rsid w:val="4E8D742E"/>
    <w:rsid w:val="4F9FB07B"/>
    <w:rsid w:val="4FB6DE6C"/>
    <w:rsid w:val="51A7F6A0"/>
    <w:rsid w:val="56B726CB"/>
    <w:rsid w:val="57647D46"/>
    <w:rsid w:val="57CF6A9E"/>
    <w:rsid w:val="57DC0AB8"/>
    <w:rsid w:val="5C0C630B"/>
    <w:rsid w:val="5E072083"/>
    <w:rsid w:val="5F7DCEAC"/>
    <w:rsid w:val="62EFECE7"/>
    <w:rsid w:val="63FF4D70"/>
    <w:rsid w:val="65CB0438"/>
    <w:rsid w:val="65DE7635"/>
    <w:rsid w:val="67D3A6B3"/>
    <w:rsid w:val="67FBD372"/>
    <w:rsid w:val="69FEF0B5"/>
    <w:rsid w:val="6BDD2173"/>
    <w:rsid w:val="6CB4220A"/>
    <w:rsid w:val="6D116FB6"/>
    <w:rsid w:val="6DD36AB5"/>
    <w:rsid w:val="6DD70BB5"/>
    <w:rsid w:val="6EB831D2"/>
    <w:rsid w:val="6EEF584A"/>
    <w:rsid w:val="6F371696"/>
    <w:rsid w:val="6F7DC1A4"/>
    <w:rsid w:val="6FEF29A8"/>
    <w:rsid w:val="732F73F4"/>
    <w:rsid w:val="75DA8412"/>
    <w:rsid w:val="765C31F4"/>
    <w:rsid w:val="76FFC614"/>
    <w:rsid w:val="775C0300"/>
    <w:rsid w:val="779784E7"/>
    <w:rsid w:val="77BAE827"/>
    <w:rsid w:val="77FB6140"/>
    <w:rsid w:val="797CD749"/>
    <w:rsid w:val="79EFF9AB"/>
    <w:rsid w:val="7AD72846"/>
    <w:rsid w:val="7AFABBA0"/>
    <w:rsid w:val="7B476518"/>
    <w:rsid w:val="7B7B922C"/>
    <w:rsid w:val="7D759AAA"/>
    <w:rsid w:val="7D7F3047"/>
    <w:rsid w:val="7D985324"/>
    <w:rsid w:val="7DBD2419"/>
    <w:rsid w:val="7DDDD446"/>
    <w:rsid w:val="7DDF5F98"/>
    <w:rsid w:val="7EFF87AE"/>
    <w:rsid w:val="7F2F5967"/>
    <w:rsid w:val="7F7FA4BD"/>
    <w:rsid w:val="7F823B42"/>
    <w:rsid w:val="7FDECCCA"/>
    <w:rsid w:val="997F9C1B"/>
    <w:rsid w:val="9FFE2B02"/>
    <w:rsid w:val="A2BF8CAB"/>
    <w:rsid w:val="A6772802"/>
    <w:rsid w:val="AD7F43B5"/>
    <w:rsid w:val="B2ED5B71"/>
    <w:rsid w:val="B3D7813D"/>
    <w:rsid w:val="B5BFC8BF"/>
    <w:rsid w:val="BD2D0935"/>
    <w:rsid w:val="BDDA7A0F"/>
    <w:rsid w:val="BFF7F49C"/>
    <w:rsid w:val="CF6D9D29"/>
    <w:rsid w:val="D9DF1F6C"/>
    <w:rsid w:val="DBFEB212"/>
    <w:rsid w:val="DFCD8D8C"/>
    <w:rsid w:val="DFFFC772"/>
    <w:rsid w:val="E3D109D6"/>
    <w:rsid w:val="E6F7FE46"/>
    <w:rsid w:val="E7B971F5"/>
    <w:rsid w:val="EBAC452C"/>
    <w:rsid w:val="EC4F407D"/>
    <w:rsid w:val="EEFF8C85"/>
    <w:rsid w:val="F2F9AD46"/>
    <w:rsid w:val="F3764A98"/>
    <w:rsid w:val="F3DDF089"/>
    <w:rsid w:val="F3FFBF36"/>
    <w:rsid w:val="F6AF4186"/>
    <w:rsid w:val="F6FB404C"/>
    <w:rsid w:val="F6FF8524"/>
    <w:rsid w:val="F73740DB"/>
    <w:rsid w:val="F777BFD6"/>
    <w:rsid w:val="F7DFC64D"/>
    <w:rsid w:val="F7FBECFA"/>
    <w:rsid w:val="FB3F6F4C"/>
    <w:rsid w:val="FB7E65AA"/>
    <w:rsid w:val="FBFDF293"/>
    <w:rsid w:val="FCFBC026"/>
    <w:rsid w:val="FDFCEED1"/>
    <w:rsid w:val="FE78F925"/>
    <w:rsid w:val="FEFB65DE"/>
    <w:rsid w:val="FEFFB8EB"/>
    <w:rsid w:val="FF3F27EE"/>
    <w:rsid w:val="FF7F5E4B"/>
    <w:rsid w:val="FF7FF8D9"/>
    <w:rsid w:val="FFA9AE1B"/>
    <w:rsid w:val="FFFB0E54"/>
    <w:rsid w:val="FFFDF4D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2"/>
    <w:basedOn w:val="1"/>
    <w:next w:val="1"/>
    <w:qFormat/>
    <w:uiPriority w:val="0"/>
    <w:pPr>
      <w:keepNext/>
      <w:keepLines/>
      <w:spacing w:before="260" w:beforeAutospacing="0" w:after="260" w:afterAutospacing="0" w:line="413" w:lineRule="auto"/>
      <w:outlineLvl w:val="1"/>
    </w:pPr>
    <w:rPr>
      <w:rFonts w:ascii="Arial" w:hAnsi="Arial" w:eastAsia="黑体"/>
      <w:b/>
      <w:sz w:val="32"/>
    </w:rPr>
  </w:style>
  <w:style w:type="character" w:default="1" w:styleId="7">
    <w:name w:val="Default Paragraph Font"/>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footnote text"/>
    <w:basedOn w:val="1"/>
    <w:qFormat/>
    <w:uiPriority w:val="0"/>
    <w:pPr>
      <w:snapToGrid w:val="0"/>
      <w:jc w:val="left"/>
    </w:pPr>
    <w:rPr>
      <w:sz w:val="18"/>
    </w:rPr>
  </w:style>
  <w:style w:type="character" w:styleId="8">
    <w:name w:val="Strong"/>
    <w:basedOn w:val="7"/>
    <w:qFormat/>
    <w:uiPriority w:val="0"/>
    <w:rPr>
      <w:b/>
    </w:rPr>
  </w:style>
  <w:style w:type="character" w:styleId="9">
    <w:name w:val="footnote reference"/>
    <w:basedOn w:val="7"/>
    <w:qFormat/>
    <w:uiPriority w:val="0"/>
    <w:rPr>
      <w:vertAlign w:val="superscript"/>
    </w:rPr>
  </w:style>
  <w:style w:type="paragraph" w:customStyle="1" w:styleId="10">
    <w:name w:val="Normal (Web)"/>
    <w:basedOn w:val="1"/>
    <w:qFormat/>
    <w:uiPriority w:val="0"/>
    <w:pPr>
      <w:spacing w:before="0" w:beforeAutospacing="1" w:after="0" w:afterAutospacing="1"/>
      <w:ind w:left="0" w:right="0"/>
      <w:jc w:val="left"/>
    </w:pPr>
    <w:rPr>
      <w:kern w:val="0"/>
      <w:sz w:val="24"/>
      <w:lang w:val="en-US" w:eastAsia="zh-CN"/>
    </w:rPr>
  </w:style>
  <w:style w:type="paragraph" w:customStyle="1" w:styleId="1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2">
    <w:name w:val="WPSOffice手动目录 1"/>
    <w:qFormat/>
    <w:uiPriority w:val="0"/>
    <w:pPr>
      <w:ind w:leftChars="0"/>
    </w:pPr>
    <w:rPr>
      <w:rFonts w:ascii="Times New Roman" w:hAnsi="Times New Roman" w:eastAsia="宋体" w:cs="Times New Roman"/>
      <w:sz w:val="20"/>
      <w:szCs w:val="2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Info spid="_x0000_s4098"/>
    <customShpInfo spid="_x0000_s409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11</Pages>
  <Words>3634</Words>
  <Characters>3851</Characters>
  <Lines>0</Lines>
  <Paragraphs>0</Paragraphs>
  <TotalTime>81</TotalTime>
  <ScaleCrop>false</ScaleCrop>
  <LinksUpToDate>false</LinksUpToDate>
  <CharactersWithSpaces>3888</CharactersWithSpaces>
  <Application>WPS Office_11.8.2.10458_F1E327BC-269C-435d-A152-05C5408002CA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2022-04-10T18:44:00Z</dcterms:created>
  <dc:creator>Administrator</dc:creator>
  <cp:lastModifiedBy>40不获</cp:lastModifiedBy>
  <cp:lastPrinted>2025-10-14T03:03:00Z</cp:lastPrinted>
  <dcterms:modified xsi:type="dcterms:W3CDTF">2026-04-03T11:14:25Z</dcterms:modified>
  <dc:title>天才</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2052-11.8.2.10458</vt:lpwstr>
  </property>
  <property fmtid="{D5CDD505-2E9C-101B-9397-08002B2CF9AE}" pid="3" name="ICV">
    <vt:lpwstr>8C6AA32987E7428E81B0B13256E0D898_13</vt:lpwstr>
  </property>
  <property fmtid="{D5CDD505-2E9C-101B-9397-08002B2CF9AE}" pid="4" name="KSOTemplateDocerSaveRecord">
    <vt:lpwstr>eyJoZGlkIjoiZDJjMTYxNmNmNTRiODdhNjNiNzk5YTA0ZGYyNDFlZjkiLCJ1c2VySWQiOiIxNTk1MDU0NTgyIn0=</vt:lpwstr>
  </property>
</Properties>
</file>