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487ED">
      <w:pPr>
        <w:spacing w:after="0" w:line="360" w:lineRule="auto"/>
        <w:jc w:val="center"/>
        <w:outlineLvl w:val="9"/>
        <w:rPr>
          <w:rFonts w:hint="eastAsia" w:ascii="方正小标宋简体" w:hAnsi="方正小标宋简体" w:eastAsia="方正小标宋简体" w:cs="方正小标宋简体"/>
          <w:sz w:val="44"/>
          <w:szCs w:val="44"/>
        </w:rPr>
      </w:pPr>
    </w:p>
    <w:p w14:paraId="466FCAE3">
      <w:pPr>
        <w:spacing w:after="0"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温州市龙湾区浙江瓯越交建科技股份有限公司“4</w:t>
      </w:r>
      <w:r>
        <w:rPr>
          <w:rFonts w:hint="eastAsia" w:ascii="方正小标宋简体" w:hAnsi="方正小标宋简体" w:eastAsia="方正小标宋简体" w:cs="方正小标宋简体"/>
          <w:b/>
          <w:bCs/>
          <w:spacing w:val="-6"/>
          <w:sz w:val="44"/>
          <w:szCs w:val="44"/>
        </w:rPr>
        <w:t>·</w:t>
      </w:r>
      <w:r>
        <w:rPr>
          <w:rFonts w:hint="eastAsia" w:ascii="方正小标宋简体" w:hAnsi="方正小标宋简体" w:eastAsia="方正小标宋简体" w:cs="方正小标宋简体"/>
          <w:sz w:val="44"/>
          <w:szCs w:val="44"/>
        </w:rPr>
        <w:t>12”一般起重伤害事故</w:t>
      </w:r>
    </w:p>
    <w:p w14:paraId="776B71CD">
      <w:pPr>
        <w:spacing w:after="0"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调查报告</w:t>
      </w:r>
      <w:bookmarkStart w:id="58" w:name="_GoBack"/>
      <w:bookmarkEnd w:id="58"/>
    </w:p>
    <w:p w14:paraId="7AD285DA">
      <w:pPr>
        <w:pStyle w:val="2"/>
        <w:rPr>
          <w:rFonts w:ascii="微软雅黑" w:hAnsi="微软雅黑" w:eastAsia="微软雅黑" w:cs="微软雅黑"/>
          <w:sz w:val="44"/>
          <w:szCs w:val="44"/>
        </w:rPr>
      </w:pPr>
    </w:p>
    <w:p w14:paraId="080B73A8">
      <w:pPr>
        <w:rPr>
          <w:rFonts w:ascii="微软雅黑" w:hAnsi="微软雅黑" w:cs="微软雅黑"/>
          <w:sz w:val="44"/>
          <w:szCs w:val="44"/>
        </w:rPr>
      </w:pPr>
    </w:p>
    <w:p w14:paraId="6A96CA45">
      <w:pPr>
        <w:pStyle w:val="2"/>
        <w:rPr>
          <w:rFonts w:ascii="微软雅黑" w:hAnsi="微软雅黑" w:eastAsia="微软雅黑" w:cs="微软雅黑"/>
          <w:sz w:val="44"/>
          <w:szCs w:val="44"/>
        </w:rPr>
      </w:pPr>
    </w:p>
    <w:p w14:paraId="420B1121">
      <w:pPr>
        <w:rPr>
          <w:rFonts w:ascii="微软雅黑" w:hAnsi="微软雅黑" w:cs="微软雅黑"/>
          <w:sz w:val="44"/>
          <w:szCs w:val="44"/>
        </w:rPr>
      </w:pPr>
    </w:p>
    <w:p w14:paraId="4BCB8C59">
      <w:pPr>
        <w:pStyle w:val="2"/>
        <w:rPr>
          <w:rFonts w:ascii="微软雅黑" w:hAnsi="微软雅黑" w:eastAsia="微软雅黑" w:cs="微软雅黑"/>
          <w:sz w:val="44"/>
          <w:szCs w:val="44"/>
        </w:rPr>
      </w:pPr>
    </w:p>
    <w:p w14:paraId="5669B512">
      <w:pPr>
        <w:rPr>
          <w:rFonts w:ascii="微软雅黑" w:hAnsi="微软雅黑" w:cs="微软雅黑"/>
          <w:sz w:val="44"/>
          <w:szCs w:val="44"/>
        </w:rPr>
      </w:pPr>
    </w:p>
    <w:p w14:paraId="6E34B5DD">
      <w:pPr>
        <w:pStyle w:val="2"/>
        <w:rPr>
          <w:rFonts w:ascii="微软雅黑" w:hAnsi="微软雅黑" w:eastAsia="微软雅黑" w:cs="微软雅黑"/>
          <w:sz w:val="44"/>
          <w:szCs w:val="44"/>
        </w:rPr>
      </w:pPr>
    </w:p>
    <w:p w14:paraId="5A37F7FA">
      <w:pPr>
        <w:rPr>
          <w:rFonts w:ascii="微软雅黑" w:hAnsi="微软雅黑" w:cs="微软雅黑"/>
          <w:sz w:val="44"/>
          <w:szCs w:val="44"/>
        </w:rPr>
      </w:pPr>
    </w:p>
    <w:p w14:paraId="7E5D119F">
      <w:pPr>
        <w:pStyle w:val="2"/>
        <w:ind w:left="0" w:leftChars="0" w:firstLine="0" w:firstLineChars="0"/>
      </w:pPr>
    </w:p>
    <w:p w14:paraId="6C616B7F">
      <w:pPr>
        <w:pStyle w:val="2"/>
        <w:rPr>
          <w:rFonts w:ascii="微软雅黑" w:hAnsi="微软雅黑" w:eastAsia="微软雅黑" w:cs="微软雅黑"/>
          <w:sz w:val="44"/>
          <w:szCs w:val="44"/>
        </w:rPr>
      </w:pPr>
    </w:p>
    <w:p w14:paraId="6BB8D563">
      <w:pPr>
        <w:rPr>
          <w:rFonts w:ascii="微软雅黑" w:hAnsi="微软雅黑" w:cs="微软雅黑"/>
          <w:sz w:val="44"/>
          <w:szCs w:val="44"/>
        </w:rPr>
      </w:pPr>
    </w:p>
    <w:p w14:paraId="799D38E8">
      <w:pPr>
        <w:pStyle w:val="2"/>
        <w:jc w:val="center"/>
        <w:rPr>
          <w:rFonts w:ascii="仿宋" w:hAnsi="仿宋" w:eastAsia="仿宋" w:cs="仿宋"/>
          <w:sz w:val="30"/>
          <w:szCs w:val="30"/>
        </w:rPr>
      </w:pPr>
      <w:r>
        <w:rPr>
          <w:rFonts w:hint="eastAsia" w:ascii="仿宋" w:hAnsi="仿宋" w:eastAsia="仿宋" w:cs="仿宋"/>
          <w:sz w:val="30"/>
          <w:szCs w:val="30"/>
        </w:rPr>
        <w:t>温州市龙湾区浙江瓯越交建科技股份有限公司</w:t>
      </w:r>
    </w:p>
    <w:p w14:paraId="2789F17A">
      <w:pPr>
        <w:pStyle w:val="2"/>
        <w:jc w:val="center"/>
        <w:rPr>
          <w:rFonts w:ascii="仿宋" w:hAnsi="仿宋" w:eastAsia="仿宋" w:cs="仿宋"/>
          <w:sz w:val="30"/>
          <w:szCs w:val="30"/>
        </w:rPr>
      </w:pPr>
      <w:r>
        <w:rPr>
          <w:rFonts w:hint="eastAsia" w:ascii="仿宋" w:hAnsi="仿宋" w:eastAsia="仿宋" w:cs="仿宋"/>
          <w:sz w:val="30"/>
          <w:szCs w:val="30"/>
        </w:rPr>
        <w:t>“4·12”起重伤害事故调查组</w:t>
      </w:r>
    </w:p>
    <w:p w14:paraId="21321B96">
      <w:pPr>
        <w:jc w:val="center"/>
        <w:rPr>
          <w:sz w:val="30"/>
          <w:szCs w:val="30"/>
        </w:rPr>
        <w:sectPr>
          <w:pgSz w:w="11906" w:h="16838"/>
          <w:pgMar w:top="1440" w:right="1800" w:bottom="1440" w:left="1800" w:header="720" w:footer="720" w:gutter="0"/>
          <w:cols w:space="720" w:num="1"/>
          <w:docGrid w:type="lines" w:linePitch="312" w:charSpace="0"/>
        </w:sectPr>
      </w:pPr>
      <w:r>
        <w:rPr>
          <w:rFonts w:hint="eastAsia" w:ascii="仿宋" w:hAnsi="仿宋" w:eastAsia="仿宋" w:cs="仿宋"/>
          <w:sz w:val="30"/>
          <w:szCs w:val="30"/>
        </w:rPr>
        <w:t>2023年</w:t>
      </w:r>
      <w:r>
        <w:rPr>
          <w:rFonts w:hint="eastAsia" w:ascii="仿宋" w:hAnsi="仿宋" w:eastAsia="仿宋" w:cs="仿宋"/>
          <w:sz w:val="30"/>
          <w:szCs w:val="30"/>
          <w:lang w:val="en-US" w:eastAsia="zh-CN"/>
        </w:rPr>
        <w:t>6</w:t>
      </w:r>
      <w:r>
        <w:rPr>
          <w:rFonts w:hint="eastAsia" w:ascii="仿宋" w:hAnsi="仿宋" w:eastAsia="仿宋" w:cs="仿宋"/>
          <w:sz w:val="30"/>
          <w:szCs w:val="30"/>
        </w:rPr>
        <w:t>月</w:t>
      </w:r>
    </w:p>
    <w:sdt>
      <w:sdtPr>
        <w:rPr>
          <w:rFonts w:ascii="宋体" w:hAnsi="宋体" w:eastAsia="宋体" w:cstheme="minorBidi"/>
          <w:sz w:val="21"/>
          <w:szCs w:val="22"/>
          <w:lang w:val="en-US" w:eastAsia="zh-CN" w:bidi="ar-SA"/>
        </w:rPr>
        <w:id w:val="147475591"/>
        <w:docPartObj>
          <w:docPartGallery w:val="Table of Contents"/>
          <w:docPartUnique/>
        </w:docPartObj>
      </w:sdtPr>
      <w:sdtEndPr>
        <w:rPr>
          <w:rFonts w:ascii="Times New Roman" w:hAnsi="Times New Roman" w:eastAsia="宋体" w:cs="Times New Roman"/>
          <w:b/>
          <w:bCs/>
          <w:sz w:val="21"/>
          <w:szCs w:val="22"/>
          <w:lang w:val="en-US" w:eastAsia="zh-CN" w:bidi="ar-SA"/>
        </w:rPr>
      </w:sdtEndPr>
      <w:sdtContent>
        <w:p w14:paraId="22C29841">
          <w:pPr>
            <w:spacing w:before="0" w:beforeLines="0" w:after="0" w:afterLines="0" w:line="240" w:lineRule="auto"/>
            <w:ind w:left="0" w:leftChars="0" w:right="0" w:rightChars="0" w:firstLine="0" w:firstLineChars="0"/>
            <w:jc w:val="center"/>
            <w:rPr>
              <w:sz w:val="44"/>
              <w:szCs w:val="44"/>
            </w:rPr>
          </w:pPr>
          <w:bookmarkStart w:id="0" w:name="_Toc872120469_WPSOffice_Type2"/>
          <w:r>
            <w:rPr>
              <w:rFonts w:ascii="宋体" w:hAnsi="宋体" w:eastAsia="宋体"/>
              <w:sz w:val="44"/>
              <w:szCs w:val="44"/>
            </w:rPr>
            <w:t>目录</w:t>
          </w:r>
          <w:r>
            <w:rPr>
              <w:rFonts w:ascii="宋体" w:hAnsi="宋体" w:eastAsia="宋体"/>
              <w:sz w:val="44"/>
              <w:szCs w:val="44"/>
            </w:rPr>
            <w:br w:type="textWrapping"/>
          </w:r>
        </w:p>
        <w:p w14:paraId="75BB09B0">
          <w:pPr>
            <w:pStyle w:val="32"/>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sz w:val="24"/>
              <w:szCs w:val="24"/>
            </w:rPr>
            <w:instrText xml:space="preserve"> HYPERLINK \l _Toc529564273_WPSOffice_Level1 </w:instrText>
          </w:r>
          <w:r>
            <w:rPr>
              <w:b/>
              <w:bCs/>
              <w:sz w:val="24"/>
              <w:szCs w:val="24"/>
            </w:rPr>
            <w:fldChar w:fldCharType="separate"/>
          </w:r>
          <w:sdt>
            <w:sdtPr>
              <w:rPr>
                <w:rFonts w:ascii="Tahoma" w:hAnsi="Tahoma" w:eastAsia="微软雅黑" w:cstheme="minorBidi"/>
                <w:b/>
                <w:bCs/>
                <w:sz w:val="24"/>
                <w:szCs w:val="24"/>
                <w:lang w:val="en-US" w:eastAsia="zh-CN" w:bidi="ar-SA"/>
              </w:rPr>
              <w:id w:val="929260658"/>
              <w:placeholder>
                <w:docPart w:val="{a02e49c1-9c86-40a1-a3eb-bec6c9f2c53e}"/>
              </w:placeholder>
            </w:sdtPr>
            <w:sdtEndPr>
              <w:rPr>
                <w:rFonts w:ascii="Tahoma" w:hAnsi="Tahoma" w:eastAsia="微软雅黑" w:cstheme="minorBidi"/>
                <w:b/>
                <w:bCs/>
                <w:sz w:val="24"/>
                <w:szCs w:val="24"/>
                <w:lang w:val="en-US" w:eastAsia="zh-CN" w:bidi="ar-SA"/>
              </w:rPr>
            </w:sdtEndPr>
            <w:sdtContent>
              <w:r>
                <w:rPr>
                  <w:rFonts w:hint="eastAsia" w:ascii="黑体" w:hAnsi="黑体" w:eastAsia="黑体" w:cs="仿宋"/>
                  <w:b/>
                  <w:bCs/>
                  <w:sz w:val="24"/>
                  <w:szCs w:val="24"/>
                </w:rPr>
                <w:t>一、事故基本情况</w:t>
              </w:r>
            </w:sdtContent>
          </w:sdt>
          <w:r>
            <w:rPr>
              <w:b/>
              <w:bCs/>
              <w:sz w:val="24"/>
              <w:szCs w:val="24"/>
            </w:rPr>
            <w:tab/>
          </w:r>
          <w:bookmarkStart w:id="1" w:name="_Toc529564273_WPSOffice_Level1Page"/>
          <w:r>
            <w:rPr>
              <w:b/>
              <w:bCs/>
              <w:sz w:val="24"/>
              <w:szCs w:val="24"/>
            </w:rPr>
            <w:t>3</w:t>
          </w:r>
          <w:bookmarkEnd w:id="1"/>
          <w:r>
            <w:rPr>
              <w:b/>
              <w:bCs/>
              <w:sz w:val="24"/>
              <w:szCs w:val="24"/>
            </w:rPr>
            <w:fldChar w:fldCharType="end"/>
          </w:r>
        </w:p>
        <w:p w14:paraId="6FA98F50">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_Toc872120469_WPSOffice_Level2 </w:instrText>
          </w:r>
          <w:r>
            <w:rPr>
              <w:sz w:val="24"/>
              <w:szCs w:val="24"/>
            </w:rPr>
            <w:fldChar w:fldCharType="separate"/>
          </w:r>
          <w:sdt>
            <w:sdtPr>
              <w:rPr>
                <w:rFonts w:ascii="Tahoma" w:hAnsi="Tahoma" w:eastAsia="微软雅黑" w:cstheme="minorBidi"/>
                <w:sz w:val="24"/>
                <w:szCs w:val="24"/>
                <w:lang w:val="en-US" w:eastAsia="zh-CN" w:bidi="ar-SA"/>
              </w:rPr>
              <w:id w:val="147481040"/>
              <w:placeholder>
                <w:docPart w:val="{e22ee29d-86f8-4116-aab4-dbac17119966}"/>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（一）浙江瓯越交建科技股份有限公司预制场概况</w:t>
              </w:r>
            </w:sdtContent>
          </w:sdt>
          <w:r>
            <w:rPr>
              <w:sz w:val="24"/>
              <w:szCs w:val="24"/>
            </w:rPr>
            <w:tab/>
          </w:r>
          <w:bookmarkStart w:id="2" w:name="_Toc872120469_WPSOffice_Level2Page"/>
          <w:r>
            <w:rPr>
              <w:sz w:val="24"/>
              <w:szCs w:val="24"/>
            </w:rPr>
            <w:t>3</w:t>
          </w:r>
          <w:bookmarkEnd w:id="2"/>
          <w:r>
            <w:rPr>
              <w:sz w:val="24"/>
              <w:szCs w:val="24"/>
            </w:rPr>
            <w:fldChar w:fldCharType="end"/>
          </w:r>
        </w:p>
        <w:p w14:paraId="092CA9A4">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_Toc2126847106_WPSOffice_Level2 </w:instrText>
          </w:r>
          <w:r>
            <w:rPr>
              <w:sz w:val="24"/>
              <w:szCs w:val="24"/>
            </w:rPr>
            <w:fldChar w:fldCharType="separate"/>
          </w:r>
          <w:sdt>
            <w:sdtPr>
              <w:rPr>
                <w:rFonts w:ascii="Tahoma" w:hAnsi="Tahoma" w:eastAsia="微软雅黑" w:cstheme="minorBidi"/>
                <w:sz w:val="24"/>
                <w:szCs w:val="24"/>
                <w:lang w:val="en-US" w:eastAsia="zh-CN" w:bidi="ar-SA"/>
              </w:rPr>
              <w:id w:val="147452973"/>
              <w:placeholder>
                <w:docPart w:val="{96825e2a-4e9a-477b-b53a-db9efce78892}"/>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（二）门式起重机租赁概况</w:t>
              </w:r>
            </w:sdtContent>
          </w:sdt>
          <w:r>
            <w:rPr>
              <w:sz w:val="24"/>
              <w:szCs w:val="24"/>
            </w:rPr>
            <w:tab/>
          </w:r>
          <w:bookmarkStart w:id="3" w:name="_Toc2126847106_WPSOffice_Level2Page"/>
          <w:r>
            <w:rPr>
              <w:sz w:val="24"/>
              <w:szCs w:val="24"/>
            </w:rPr>
            <w:t>3</w:t>
          </w:r>
          <w:bookmarkEnd w:id="3"/>
          <w:r>
            <w:rPr>
              <w:sz w:val="24"/>
              <w:szCs w:val="24"/>
            </w:rPr>
            <w:fldChar w:fldCharType="end"/>
          </w:r>
        </w:p>
        <w:p w14:paraId="2ED6C69A">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_Toc1801288189_WPSOffice_Level2 </w:instrText>
          </w:r>
          <w:r>
            <w:rPr>
              <w:sz w:val="24"/>
              <w:szCs w:val="24"/>
            </w:rPr>
            <w:fldChar w:fldCharType="separate"/>
          </w:r>
          <w:sdt>
            <w:sdtPr>
              <w:rPr>
                <w:rFonts w:ascii="Tahoma" w:hAnsi="Tahoma" w:eastAsia="微软雅黑" w:cstheme="minorBidi"/>
                <w:sz w:val="24"/>
                <w:szCs w:val="24"/>
                <w:lang w:val="en-US" w:eastAsia="zh-CN" w:bidi="ar-SA"/>
              </w:rPr>
              <w:id w:val="147480698"/>
              <w:placeholder>
                <w:docPart w:val="{99c6913e-99ec-44ef-b34c-3d34650285f3}"/>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（三）施工劳务承包概况</w:t>
              </w:r>
            </w:sdtContent>
          </w:sdt>
          <w:r>
            <w:rPr>
              <w:sz w:val="24"/>
              <w:szCs w:val="24"/>
            </w:rPr>
            <w:tab/>
          </w:r>
          <w:bookmarkStart w:id="4" w:name="_Toc1801288189_WPSOffice_Level2Page"/>
          <w:r>
            <w:rPr>
              <w:sz w:val="24"/>
              <w:szCs w:val="24"/>
            </w:rPr>
            <w:t>4</w:t>
          </w:r>
          <w:bookmarkEnd w:id="4"/>
          <w:r>
            <w:rPr>
              <w:sz w:val="24"/>
              <w:szCs w:val="24"/>
            </w:rPr>
            <w:fldChar w:fldCharType="end"/>
          </w:r>
        </w:p>
        <w:p w14:paraId="62D0EB35">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_Toc383243081_WPSOffice_Level2 </w:instrText>
          </w:r>
          <w:r>
            <w:rPr>
              <w:sz w:val="24"/>
              <w:szCs w:val="24"/>
            </w:rPr>
            <w:fldChar w:fldCharType="separate"/>
          </w:r>
          <w:sdt>
            <w:sdtPr>
              <w:rPr>
                <w:rFonts w:ascii="Tahoma" w:hAnsi="Tahoma" w:eastAsia="微软雅黑" w:cstheme="minorBidi"/>
                <w:sz w:val="24"/>
                <w:szCs w:val="24"/>
                <w:lang w:val="en-US" w:eastAsia="zh-CN" w:bidi="ar-SA"/>
              </w:rPr>
              <w:id w:val="147481460"/>
              <w:placeholder>
                <w:docPart w:val="{bd2c42de-5199-4b13-b089-95507dbf7fb0}"/>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（四）涉事门式起重机概况</w:t>
              </w:r>
            </w:sdtContent>
          </w:sdt>
          <w:r>
            <w:rPr>
              <w:sz w:val="24"/>
              <w:szCs w:val="24"/>
            </w:rPr>
            <w:tab/>
          </w:r>
          <w:bookmarkStart w:id="5" w:name="_Toc383243081_WPSOffice_Level2Page"/>
          <w:r>
            <w:rPr>
              <w:sz w:val="24"/>
              <w:szCs w:val="24"/>
            </w:rPr>
            <w:t>4</w:t>
          </w:r>
          <w:bookmarkEnd w:id="5"/>
          <w:r>
            <w:rPr>
              <w:sz w:val="24"/>
              <w:szCs w:val="24"/>
            </w:rPr>
            <w:fldChar w:fldCharType="end"/>
          </w:r>
        </w:p>
        <w:p w14:paraId="0DD27F04">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_Toc1277998881_WPSOffice_Level2 </w:instrText>
          </w:r>
          <w:r>
            <w:rPr>
              <w:sz w:val="24"/>
              <w:szCs w:val="24"/>
            </w:rPr>
            <w:fldChar w:fldCharType="separate"/>
          </w:r>
          <w:sdt>
            <w:sdtPr>
              <w:rPr>
                <w:rFonts w:ascii="Tahoma" w:hAnsi="Tahoma" w:eastAsia="微软雅黑" w:cstheme="minorBidi"/>
                <w:sz w:val="24"/>
                <w:szCs w:val="24"/>
                <w:lang w:val="en-US" w:eastAsia="zh-CN" w:bidi="ar-SA"/>
              </w:rPr>
              <w:id w:val="147467447"/>
              <w:placeholder>
                <w:docPart w:val="{d4f61b7e-74d1-45c1-9fdb-290e44f15522}"/>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（五）事故发生单位及相关单位基本情况</w:t>
              </w:r>
            </w:sdtContent>
          </w:sdt>
          <w:r>
            <w:rPr>
              <w:sz w:val="24"/>
              <w:szCs w:val="24"/>
            </w:rPr>
            <w:tab/>
          </w:r>
          <w:bookmarkStart w:id="6" w:name="_Toc1277998881_WPSOffice_Level2Page"/>
          <w:r>
            <w:rPr>
              <w:sz w:val="24"/>
              <w:szCs w:val="24"/>
            </w:rPr>
            <w:t>5</w:t>
          </w:r>
          <w:bookmarkEnd w:id="6"/>
          <w:r>
            <w:rPr>
              <w:sz w:val="24"/>
              <w:szCs w:val="24"/>
            </w:rPr>
            <w:fldChar w:fldCharType="end"/>
          </w:r>
        </w:p>
        <w:p w14:paraId="19FCD7D7">
          <w:pPr>
            <w:pStyle w:val="32"/>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sz w:val="24"/>
              <w:szCs w:val="24"/>
            </w:rPr>
            <w:instrText xml:space="preserve"> HYPERLINK \l _Toc872120469_WPSOffice_Level1 </w:instrText>
          </w:r>
          <w:r>
            <w:rPr>
              <w:b/>
              <w:bCs/>
              <w:sz w:val="24"/>
              <w:szCs w:val="24"/>
            </w:rPr>
            <w:fldChar w:fldCharType="separate"/>
          </w:r>
          <w:sdt>
            <w:sdtPr>
              <w:rPr>
                <w:rFonts w:ascii="Tahoma" w:hAnsi="Tahoma" w:eastAsia="微软雅黑" w:cstheme="minorBidi"/>
                <w:b/>
                <w:bCs/>
                <w:sz w:val="24"/>
                <w:szCs w:val="24"/>
                <w:lang w:val="en-US" w:eastAsia="zh-CN" w:bidi="ar-SA"/>
              </w:rPr>
              <w:id w:val="147463407"/>
              <w:placeholder>
                <w:docPart w:val="{7732facc-a2af-4d3e-8f39-bd92098f247f}"/>
              </w:placeholder>
            </w:sdtPr>
            <w:sdtEndPr>
              <w:rPr>
                <w:rFonts w:ascii="Tahoma" w:hAnsi="Tahoma" w:eastAsia="微软雅黑" w:cstheme="minorBidi"/>
                <w:b/>
                <w:bCs/>
                <w:sz w:val="24"/>
                <w:szCs w:val="24"/>
                <w:lang w:val="en-US" w:eastAsia="zh-CN" w:bidi="ar-SA"/>
              </w:rPr>
            </w:sdtEndPr>
            <w:sdtContent>
              <w:r>
                <w:rPr>
                  <w:rFonts w:hint="eastAsia" w:ascii="黑体" w:hAnsi="黑体" w:eastAsia="黑体" w:cs="仿宋"/>
                  <w:b/>
                  <w:bCs/>
                  <w:sz w:val="24"/>
                  <w:szCs w:val="24"/>
                </w:rPr>
                <w:t>二、事故发生经过和应急处置情况</w:t>
              </w:r>
            </w:sdtContent>
          </w:sdt>
          <w:r>
            <w:rPr>
              <w:b/>
              <w:bCs/>
              <w:sz w:val="24"/>
              <w:szCs w:val="24"/>
            </w:rPr>
            <w:tab/>
          </w:r>
          <w:bookmarkStart w:id="7" w:name="_Toc872120469_WPSOffice_Level1Page"/>
          <w:r>
            <w:rPr>
              <w:b/>
              <w:bCs/>
              <w:sz w:val="24"/>
              <w:szCs w:val="24"/>
            </w:rPr>
            <w:t>6</w:t>
          </w:r>
          <w:bookmarkEnd w:id="7"/>
          <w:r>
            <w:rPr>
              <w:b/>
              <w:bCs/>
              <w:sz w:val="24"/>
              <w:szCs w:val="24"/>
            </w:rPr>
            <w:fldChar w:fldCharType="end"/>
          </w:r>
        </w:p>
        <w:p w14:paraId="75D99354">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_Toc396417498_WPSOffice_Level2 </w:instrText>
          </w:r>
          <w:r>
            <w:rPr>
              <w:sz w:val="24"/>
              <w:szCs w:val="24"/>
            </w:rPr>
            <w:fldChar w:fldCharType="separate"/>
          </w:r>
          <w:sdt>
            <w:sdtPr>
              <w:rPr>
                <w:rFonts w:ascii="Tahoma" w:hAnsi="Tahoma" w:eastAsia="微软雅黑" w:cstheme="minorBidi"/>
                <w:sz w:val="24"/>
                <w:szCs w:val="24"/>
                <w:lang w:val="en-US" w:eastAsia="zh-CN" w:bidi="ar-SA"/>
              </w:rPr>
              <w:id w:val="147480722"/>
              <w:placeholder>
                <w:docPart w:val="{a0d8f527-8f94-42fb-a62d-ded25c73c7ea}"/>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（一）事故发生经过</w:t>
              </w:r>
            </w:sdtContent>
          </w:sdt>
          <w:r>
            <w:rPr>
              <w:sz w:val="24"/>
              <w:szCs w:val="24"/>
            </w:rPr>
            <w:tab/>
          </w:r>
          <w:bookmarkStart w:id="8" w:name="_Toc396417498_WPSOffice_Level2Page"/>
          <w:r>
            <w:rPr>
              <w:sz w:val="24"/>
              <w:szCs w:val="24"/>
            </w:rPr>
            <w:t>6</w:t>
          </w:r>
          <w:bookmarkEnd w:id="8"/>
          <w:r>
            <w:rPr>
              <w:sz w:val="24"/>
              <w:szCs w:val="24"/>
            </w:rPr>
            <w:fldChar w:fldCharType="end"/>
          </w:r>
        </w:p>
        <w:p w14:paraId="2F53CE2C">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_Toc1478360337_WPSOffice_Level2 </w:instrText>
          </w:r>
          <w:r>
            <w:rPr>
              <w:sz w:val="24"/>
              <w:szCs w:val="24"/>
            </w:rPr>
            <w:fldChar w:fldCharType="separate"/>
          </w:r>
          <w:sdt>
            <w:sdtPr>
              <w:rPr>
                <w:rFonts w:ascii="Tahoma" w:hAnsi="Tahoma" w:eastAsia="微软雅黑" w:cstheme="minorBidi"/>
                <w:sz w:val="24"/>
                <w:szCs w:val="24"/>
                <w:lang w:val="en-US" w:eastAsia="zh-CN" w:bidi="ar-SA"/>
              </w:rPr>
              <w:id w:val="147468250"/>
              <w:placeholder>
                <w:docPart w:val="{838eeb25-c23a-4187-8c10-7d031f3e6940}"/>
              </w:placeholder>
            </w:sdtPr>
            <w:sdtEndPr>
              <w:rPr>
                <w:rFonts w:ascii="Tahoma" w:hAnsi="Tahoma" w:eastAsia="微软雅黑" w:cstheme="minorBidi"/>
                <w:sz w:val="24"/>
                <w:szCs w:val="24"/>
                <w:lang w:val="en-US" w:eastAsia="zh-CN" w:bidi="ar-SA"/>
              </w:rPr>
            </w:sdtEndPr>
            <w:sdtContent>
              <w:r>
                <w:rPr>
                  <w:rFonts w:hint="eastAsia" w:ascii="楷体" w:hAnsi="楷体" w:eastAsia="楷体" w:cs="仿宋"/>
                  <w:sz w:val="24"/>
                  <w:szCs w:val="24"/>
                </w:rPr>
                <w:t>（二）事故现场情况</w:t>
              </w:r>
            </w:sdtContent>
          </w:sdt>
          <w:r>
            <w:rPr>
              <w:sz w:val="24"/>
              <w:szCs w:val="24"/>
            </w:rPr>
            <w:tab/>
          </w:r>
          <w:bookmarkStart w:id="9" w:name="_Toc1478360337_WPSOffice_Level2Page"/>
          <w:r>
            <w:rPr>
              <w:sz w:val="24"/>
              <w:szCs w:val="24"/>
            </w:rPr>
            <w:t>7</w:t>
          </w:r>
          <w:bookmarkEnd w:id="9"/>
          <w:r>
            <w:rPr>
              <w:sz w:val="24"/>
              <w:szCs w:val="24"/>
            </w:rPr>
            <w:fldChar w:fldCharType="end"/>
          </w:r>
        </w:p>
        <w:p w14:paraId="1DFD5D84">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_Toc1826598286_WPSOffice_Level2 </w:instrText>
          </w:r>
          <w:r>
            <w:rPr>
              <w:sz w:val="24"/>
              <w:szCs w:val="24"/>
            </w:rPr>
            <w:fldChar w:fldCharType="separate"/>
          </w:r>
          <w:sdt>
            <w:sdtPr>
              <w:rPr>
                <w:rFonts w:ascii="Tahoma" w:hAnsi="Tahoma" w:eastAsia="微软雅黑" w:cstheme="minorBidi"/>
                <w:sz w:val="24"/>
                <w:szCs w:val="24"/>
                <w:lang w:val="en-US" w:eastAsia="zh-CN" w:bidi="ar-SA"/>
              </w:rPr>
              <w:id w:val="147467840"/>
              <w:placeholder>
                <w:docPart w:val="{cf26ac91-e1da-446f-81a9-12d3f9e08ea6}"/>
              </w:placeholder>
            </w:sdtPr>
            <w:sdtEndPr>
              <w:rPr>
                <w:rFonts w:ascii="Tahoma" w:hAnsi="Tahoma" w:eastAsia="微软雅黑" w:cstheme="minorBidi"/>
                <w:sz w:val="24"/>
                <w:szCs w:val="24"/>
                <w:lang w:val="en-US" w:eastAsia="zh-CN" w:bidi="ar-SA"/>
              </w:rPr>
            </w:sdtEndPr>
            <w:sdtContent>
              <w:r>
                <w:rPr>
                  <w:rFonts w:hint="eastAsia" w:ascii="楷体" w:hAnsi="楷体" w:eastAsia="楷体" w:cs="仿宋"/>
                  <w:sz w:val="24"/>
                  <w:szCs w:val="24"/>
                </w:rPr>
                <w:t>（三）事故现场应急处置及评估情况</w:t>
              </w:r>
            </w:sdtContent>
          </w:sdt>
          <w:r>
            <w:rPr>
              <w:sz w:val="24"/>
              <w:szCs w:val="24"/>
            </w:rPr>
            <w:tab/>
          </w:r>
          <w:bookmarkStart w:id="10" w:name="_Toc1826598286_WPSOffice_Level2Page"/>
          <w:r>
            <w:rPr>
              <w:sz w:val="24"/>
              <w:szCs w:val="24"/>
            </w:rPr>
            <w:t>9</w:t>
          </w:r>
          <w:bookmarkEnd w:id="10"/>
          <w:r>
            <w:rPr>
              <w:sz w:val="24"/>
              <w:szCs w:val="24"/>
            </w:rPr>
            <w:fldChar w:fldCharType="end"/>
          </w:r>
        </w:p>
        <w:p w14:paraId="0CD5AD97">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_Toc1329649172_WPSOffice_Level2 </w:instrText>
          </w:r>
          <w:r>
            <w:rPr>
              <w:sz w:val="24"/>
              <w:szCs w:val="24"/>
            </w:rPr>
            <w:fldChar w:fldCharType="separate"/>
          </w:r>
          <w:sdt>
            <w:sdtPr>
              <w:rPr>
                <w:rFonts w:ascii="Tahoma" w:hAnsi="Tahoma" w:eastAsia="微软雅黑" w:cstheme="minorBidi"/>
                <w:sz w:val="24"/>
                <w:szCs w:val="24"/>
                <w:lang w:val="en-US" w:eastAsia="zh-CN" w:bidi="ar-SA"/>
              </w:rPr>
              <w:id w:val="147455457"/>
              <w:placeholder>
                <w:docPart w:val="{c61100a3-7f4a-4f40-ad5c-2cab2004625f}"/>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（四）人员伤亡情况及直接经济损失</w:t>
              </w:r>
            </w:sdtContent>
          </w:sdt>
          <w:r>
            <w:rPr>
              <w:sz w:val="24"/>
              <w:szCs w:val="24"/>
            </w:rPr>
            <w:tab/>
          </w:r>
          <w:bookmarkStart w:id="11" w:name="_Toc1329649172_WPSOffice_Level2Page"/>
          <w:r>
            <w:rPr>
              <w:sz w:val="24"/>
              <w:szCs w:val="24"/>
            </w:rPr>
            <w:t>10</w:t>
          </w:r>
          <w:bookmarkEnd w:id="11"/>
          <w:r>
            <w:rPr>
              <w:sz w:val="24"/>
              <w:szCs w:val="24"/>
            </w:rPr>
            <w:fldChar w:fldCharType="end"/>
          </w:r>
        </w:p>
        <w:p w14:paraId="6865D515">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_Toc1776076948_WPSOffice_Level2 </w:instrText>
          </w:r>
          <w:r>
            <w:rPr>
              <w:sz w:val="24"/>
              <w:szCs w:val="24"/>
            </w:rPr>
            <w:fldChar w:fldCharType="separate"/>
          </w:r>
          <w:sdt>
            <w:sdtPr>
              <w:rPr>
                <w:rFonts w:ascii="Tahoma" w:hAnsi="Tahoma" w:eastAsia="微软雅黑" w:cstheme="minorBidi"/>
                <w:sz w:val="24"/>
                <w:szCs w:val="24"/>
                <w:lang w:val="en-US" w:eastAsia="zh-CN" w:bidi="ar-SA"/>
              </w:rPr>
              <w:id w:val="147472338"/>
              <w:placeholder>
                <w:docPart w:val="{ae88852f-aade-4a45-b5ff-738dab966ebc}"/>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（五）医疗救治和善后情况</w:t>
              </w:r>
            </w:sdtContent>
          </w:sdt>
          <w:r>
            <w:rPr>
              <w:sz w:val="24"/>
              <w:szCs w:val="24"/>
            </w:rPr>
            <w:tab/>
          </w:r>
          <w:bookmarkStart w:id="12" w:name="_Toc1776076948_WPSOffice_Level2Page"/>
          <w:r>
            <w:rPr>
              <w:sz w:val="24"/>
              <w:szCs w:val="24"/>
            </w:rPr>
            <w:t>11</w:t>
          </w:r>
          <w:bookmarkEnd w:id="12"/>
          <w:r>
            <w:rPr>
              <w:sz w:val="24"/>
              <w:szCs w:val="24"/>
            </w:rPr>
            <w:fldChar w:fldCharType="end"/>
          </w:r>
        </w:p>
        <w:p w14:paraId="5913276F">
          <w:pPr>
            <w:pStyle w:val="32"/>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sz w:val="24"/>
              <w:szCs w:val="24"/>
            </w:rPr>
            <w:instrText xml:space="preserve"> HYPERLINK \l _Toc2126847106_WPSOffice_Level1 </w:instrText>
          </w:r>
          <w:r>
            <w:rPr>
              <w:b/>
              <w:bCs/>
              <w:sz w:val="24"/>
              <w:szCs w:val="24"/>
            </w:rPr>
            <w:fldChar w:fldCharType="separate"/>
          </w:r>
          <w:sdt>
            <w:sdtPr>
              <w:rPr>
                <w:rFonts w:ascii="Tahoma" w:hAnsi="Tahoma" w:eastAsia="微软雅黑" w:cstheme="minorBidi"/>
                <w:b/>
                <w:bCs/>
                <w:sz w:val="24"/>
                <w:szCs w:val="24"/>
                <w:lang w:val="en-US" w:eastAsia="zh-CN" w:bidi="ar-SA"/>
              </w:rPr>
              <w:id w:val="147452820"/>
              <w:placeholder>
                <w:docPart w:val="{3b931e4d-9bc6-45a8-b292-e310de3e2148}"/>
              </w:placeholder>
            </w:sdtPr>
            <w:sdtEndPr>
              <w:rPr>
                <w:rFonts w:ascii="Tahoma" w:hAnsi="Tahoma" w:eastAsia="微软雅黑" w:cstheme="minorBidi"/>
                <w:b/>
                <w:bCs/>
                <w:sz w:val="24"/>
                <w:szCs w:val="24"/>
                <w:lang w:val="en-US" w:eastAsia="zh-CN" w:bidi="ar-SA"/>
              </w:rPr>
            </w:sdtEndPr>
            <w:sdtContent>
              <w:r>
                <w:rPr>
                  <w:rFonts w:hint="eastAsia" w:ascii="黑体" w:hAnsi="黑体" w:eastAsia="黑体" w:cs="黑体"/>
                  <w:b/>
                  <w:bCs/>
                  <w:sz w:val="24"/>
                  <w:szCs w:val="24"/>
                </w:rPr>
                <w:t>三、事故原因分析</w:t>
              </w:r>
            </w:sdtContent>
          </w:sdt>
          <w:r>
            <w:rPr>
              <w:b/>
              <w:bCs/>
              <w:sz w:val="24"/>
              <w:szCs w:val="24"/>
            </w:rPr>
            <w:tab/>
          </w:r>
          <w:bookmarkStart w:id="13" w:name="_Toc2126847106_WPSOffice_Level1Page"/>
          <w:r>
            <w:rPr>
              <w:b/>
              <w:bCs/>
              <w:sz w:val="24"/>
              <w:szCs w:val="24"/>
            </w:rPr>
            <w:t>11</w:t>
          </w:r>
          <w:bookmarkEnd w:id="13"/>
          <w:r>
            <w:rPr>
              <w:b/>
              <w:bCs/>
              <w:sz w:val="24"/>
              <w:szCs w:val="24"/>
            </w:rPr>
            <w:fldChar w:fldCharType="end"/>
          </w:r>
        </w:p>
        <w:p w14:paraId="7B3E5B65">
          <w:pPr>
            <w:pStyle w:val="32"/>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sz w:val="24"/>
              <w:szCs w:val="24"/>
            </w:rPr>
            <w:instrText xml:space="preserve"> HYPERLINK \l _Toc1801288189_WPSOffice_Level1 </w:instrText>
          </w:r>
          <w:r>
            <w:rPr>
              <w:b/>
              <w:bCs/>
              <w:sz w:val="24"/>
              <w:szCs w:val="24"/>
            </w:rPr>
            <w:fldChar w:fldCharType="separate"/>
          </w:r>
          <w:sdt>
            <w:sdtPr>
              <w:rPr>
                <w:rFonts w:ascii="Tahoma" w:hAnsi="Tahoma" w:eastAsia="微软雅黑" w:cstheme="minorBidi"/>
                <w:b/>
                <w:bCs/>
                <w:sz w:val="24"/>
                <w:szCs w:val="24"/>
                <w:lang w:val="en-US" w:eastAsia="zh-CN" w:bidi="ar-SA"/>
              </w:rPr>
              <w:id w:val="147457887"/>
              <w:placeholder>
                <w:docPart w:val="{7d1c04c7-3154-46e1-86a9-cb5bc8943439}"/>
              </w:placeholder>
            </w:sdtPr>
            <w:sdtEndPr>
              <w:rPr>
                <w:rFonts w:ascii="Tahoma" w:hAnsi="Tahoma" w:eastAsia="微软雅黑" w:cstheme="minorBidi"/>
                <w:b/>
                <w:bCs/>
                <w:sz w:val="24"/>
                <w:szCs w:val="24"/>
                <w:lang w:val="en-US" w:eastAsia="zh-CN" w:bidi="ar-SA"/>
              </w:rPr>
            </w:sdtEndPr>
            <w:sdtContent>
              <w:r>
                <w:rPr>
                  <w:rFonts w:hint="eastAsia" w:ascii="黑体" w:hAnsi="黑体" w:eastAsia="黑体" w:cs="华文仿宋"/>
                  <w:b/>
                  <w:bCs/>
                  <w:sz w:val="24"/>
                  <w:szCs w:val="24"/>
                </w:rPr>
                <w:t>四、有关责任单位存在的主要问题</w:t>
              </w:r>
            </w:sdtContent>
          </w:sdt>
          <w:r>
            <w:rPr>
              <w:b/>
              <w:bCs/>
              <w:sz w:val="24"/>
              <w:szCs w:val="24"/>
            </w:rPr>
            <w:tab/>
          </w:r>
          <w:bookmarkStart w:id="14" w:name="_Toc1801288189_WPSOffice_Level1Page"/>
          <w:r>
            <w:rPr>
              <w:b/>
              <w:bCs/>
              <w:sz w:val="24"/>
              <w:szCs w:val="24"/>
            </w:rPr>
            <w:t>12</w:t>
          </w:r>
          <w:bookmarkEnd w:id="14"/>
          <w:r>
            <w:rPr>
              <w:b/>
              <w:bCs/>
              <w:sz w:val="24"/>
              <w:szCs w:val="24"/>
            </w:rPr>
            <w:fldChar w:fldCharType="end"/>
          </w:r>
        </w:p>
        <w:p w14:paraId="7713DC1E">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_Toc1273597805_WPSOffice_Level2 </w:instrText>
          </w:r>
          <w:r>
            <w:rPr>
              <w:sz w:val="24"/>
              <w:szCs w:val="24"/>
            </w:rPr>
            <w:fldChar w:fldCharType="separate"/>
          </w:r>
          <w:sdt>
            <w:sdtPr>
              <w:rPr>
                <w:rFonts w:ascii="Tahoma" w:hAnsi="Tahoma" w:eastAsia="微软雅黑" w:cstheme="minorBidi"/>
                <w:sz w:val="24"/>
                <w:szCs w:val="24"/>
                <w:lang w:val="en-US" w:eastAsia="zh-CN" w:bidi="ar-SA"/>
              </w:rPr>
              <w:id w:val="147467096"/>
              <w:placeholder>
                <w:docPart w:val="{4c775b2e-a52f-490e-b741-576af84faeb6}"/>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（一）有关单位</w:t>
              </w:r>
            </w:sdtContent>
          </w:sdt>
          <w:r>
            <w:rPr>
              <w:sz w:val="24"/>
              <w:szCs w:val="24"/>
            </w:rPr>
            <w:tab/>
          </w:r>
          <w:bookmarkStart w:id="15" w:name="_Toc1273597805_WPSOffice_Level2Page"/>
          <w:r>
            <w:rPr>
              <w:sz w:val="24"/>
              <w:szCs w:val="24"/>
            </w:rPr>
            <w:t>12</w:t>
          </w:r>
          <w:bookmarkEnd w:id="15"/>
          <w:r>
            <w:rPr>
              <w:sz w:val="24"/>
              <w:szCs w:val="24"/>
            </w:rPr>
            <w:fldChar w:fldCharType="end"/>
          </w:r>
        </w:p>
        <w:p w14:paraId="7A386D62">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_Toc634671068_WPSOffice_Level2 </w:instrText>
          </w:r>
          <w:r>
            <w:rPr>
              <w:sz w:val="24"/>
              <w:szCs w:val="24"/>
            </w:rPr>
            <w:fldChar w:fldCharType="separate"/>
          </w:r>
          <w:sdt>
            <w:sdtPr>
              <w:rPr>
                <w:rFonts w:ascii="Tahoma" w:hAnsi="Tahoma" w:eastAsia="微软雅黑" w:cstheme="minorBidi"/>
                <w:sz w:val="24"/>
                <w:szCs w:val="24"/>
                <w:lang w:val="en-US" w:eastAsia="zh-CN" w:bidi="ar-SA"/>
              </w:rPr>
              <w:id w:val="147463087"/>
              <w:placeholder>
                <w:docPart w:val="{a37ced3d-8ca3-4afe-aa0f-fe41094c08c3}"/>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（二）有关监管部门</w:t>
              </w:r>
            </w:sdtContent>
          </w:sdt>
          <w:r>
            <w:rPr>
              <w:sz w:val="24"/>
              <w:szCs w:val="24"/>
            </w:rPr>
            <w:tab/>
          </w:r>
          <w:bookmarkStart w:id="16" w:name="_Toc634671068_WPSOffice_Level2Page"/>
          <w:r>
            <w:rPr>
              <w:sz w:val="24"/>
              <w:szCs w:val="24"/>
            </w:rPr>
            <w:t>13</w:t>
          </w:r>
          <w:bookmarkEnd w:id="16"/>
          <w:r>
            <w:rPr>
              <w:sz w:val="24"/>
              <w:szCs w:val="24"/>
            </w:rPr>
            <w:fldChar w:fldCharType="end"/>
          </w:r>
        </w:p>
        <w:p w14:paraId="25A60D04">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_Toc1478414198_WPSOffice_Level2 </w:instrText>
          </w:r>
          <w:r>
            <w:rPr>
              <w:sz w:val="24"/>
              <w:szCs w:val="24"/>
            </w:rPr>
            <w:fldChar w:fldCharType="separate"/>
          </w:r>
          <w:sdt>
            <w:sdtPr>
              <w:rPr>
                <w:rFonts w:ascii="Tahoma" w:hAnsi="Tahoma" w:eastAsia="微软雅黑" w:cstheme="minorBidi"/>
                <w:sz w:val="24"/>
                <w:szCs w:val="24"/>
                <w:lang w:val="en-US" w:eastAsia="zh-CN" w:bidi="ar-SA"/>
              </w:rPr>
              <w:id w:val="147457781"/>
              <w:placeholder>
                <w:docPart w:val="{d2800dbc-6710-499b-a9a9-a96ca90abe01}"/>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（三）地方政府</w:t>
              </w:r>
            </w:sdtContent>
          </w:sdt>
          <w:r>
            <w:rPr>
              <w:sz w:val="24"/>
              <w:szCs w:val="24"/>
            </w:rPr>
            <w:tab/>
          </w:r>
          <w:bookmarkStart w:id="17" w:name="_Toc1478414198_WPSOffice_Level2Page"/>
          <w:r>
            <w:rPr>
              <w:sz w:val="24"/>
              <w:szCs w:val="24"/>
            </w:rPr>
            <w:t>13</w:t>
          </w:r>
          <w:bookmarkEnd w:id="17"/>
          <w:r>
            <w:rPr>
              <w:sz w:val="24"/>
              <w:szCs w:val="24"/>
            </w:rPr>
            <w:fldChar w:fldCharType="end"/>
          </w:r>
        </w:p>
        <w:p w14:paraId="67BC5C77">
          <w:pPr>
            <w:pStyle w:val="32"/>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sz w:val="24"/>
              <w:szCs w:val="24"/>
            </w:rPr>
            <w:instrText xml:space="preserve"> HYPERLINK \l _Toc383243081_WPSOffice_Level1 </w:instrText>
          </w:r>
          <w:r>
            <w:rPr>
              <w:b/>
              <w:bCs/>
              <w:sz w:val="24"/>
              <w:szCs w:val="24"/>
            </w:rPr>
            <w:fldChar w:fldCharType="separate"/>
          </w:r>
          <w:sdt>
            <w:sdtPr>
              <w:rPr>
                <w:rFonts w:ascii="Tahoma" w:hAnsi="Tahoma" w:eastAsia="微软雅黑" w:cstheme="minorBidi"/>
                <w:b/>
                <w:bCs/>
                <w:sz w:val="24"/>
                <w:szCs w:val="24"/>
                <w:lang w:val="en-US" w:eastAsia="zh-CN" w:bidi="ar-SA"/>
              </w:rPr>
              <w:id w:val="147479821"/>
              <w:placeholder>
                <w:docPart w:val="{9ff63b00-7678-4a2a-b97d-50f60cb95cc3}"/>
              </w:placeholder>
            </w:sdtPr>
            <w:sdtEndPr>
              <w:rPr>
                <w:rFonts w:ascii="Tahoma" w:hAnsi="Tahoma" w:eastAsia="微软雅黑" w:cstheme="minorBidi"/>
                <w:b/>
                <w:bCs/>
                <w:sz w:val="24"/>
                <w:szCs w:val="24"/>
                <w:lang w:val="en-US" w:eastAsia="zh-CN" w:bidi="ar-SA"/>
              </w:rPr>
            </w:sdtEndPr>
            <w:sdtContent>
              <w:r>
                <w:rPr>
                  <w:rFonts w:hint="eastAsia" w:ascii="黑体" w:hAnsi="黑体" w:eastAsia="黑体" w:cs="黑体"/>
                  <w:b/>
                  <w:bCs/>
                  <w:sz w:val="24"/>
                  <w:szCs w:val="24"/>
                </w:rPr>
                <w:t>五、对事故有关责任人员及责任单位的处理建议</w:t>
              </w:r>
            </w:sdtContent>
          </w:sdt>
          <w:r>
            <w:rPr>
              <w:b/>
              <w:bCs/>
              <w:sz w:val="24"/>
              <w:szCs w:val="24"/>
            </w:rPr>
            <w:tab/>
          </w:r>
          <w:bookmarkStart w:id="18" w:name="_Toc383243081_WPSOffice_Level1Page"/>
          <w:r>
            <w:rPr>
              <w:b/>
              <w:bCs/>
              <w:sz w:val="24"/>
              <w:szCs w:val="24"/>
            </w:rPr>
            <w:t>13</w:t>
          </w:r>
          <w:bookmarkEnd w:id="18"/>
          <w:r>
            <w:rPr>
              <w:b/>
              <w:bCs/>
              <w:sz w:val="24"/>
              <w:szCs w:val="24"/>
            </w:rPr>
            <w:fldChar w:fldCharType="end"/>
          </w:r>
        </w:p>
        <w:p w14:paraId="6CB931E8">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_Toc1268139981_WPSOffice_Level2 </w:instrText>
          </w:r>
          <w:r>
            <w:rPr>
              <w:sz w:val="24"/>
              <w:szCs w:val="24"/>
            </w:rPr>
            <w:fldChar w:fldCharType="separate"/>
          </w:r>
          <w:sdt>
            <w:sdtPr>
              <w:rPr>
                <w:rFonts w:ascii="Tahoma" w:hAnsi="Tahoma" w:eastAsia="微软雅黑" w:cstheme="minorBidi"/>
                <w:sz w:val="24"/>
                <w:szCs w:val="24"/>
                <w:lang w:val="en-US" w:eastAsia="zh-CN" w:bidi="ar-SA"/>
              </w:rPr>
              <w:id w:val="147451036"/>
              <w:placeholder>
                <w:docPart w:val="{d50652b0-45d4-497d-b64e-f78ef38a4dc1}"/>
              </w:placeholder>
            </w:sdtPr>
            <w:sdtEndPr>
              <w:rPr>
                <w:rFonts w:ascii="Tahoma" w:hAnsi="Tahoma" w:eastAsia="微软雅黑" w:cstheme="minorBidi"/>
                <w:sz w:val="24"/>
                <w:szCs w:val="24"/>
                <w:lang w:val="en-US" w:eastAsia="zh-CN" w:bidi="ar-SA"/>
              </w:rPr>
            </w:sdtEndPr>
            <w:sdtContent>
              <w:r>
                <w:rPr>
                  <w:rFonts w:hint="eastAsia" w:ascii="仿宋_GB2312" w:hAnsi="仿宋_GB2312" w:eastAsia="仿宋_GB2312" w:cs="仿宋_GB2312"/>
                  <w:sz w:val="24"/>
                  <w:szCs w:val="24"/>
                </w:rPr>
                <w:t>（一）因在事故中死亡不予追究责任人员</w:t>
              </w:r>
            </w:sdtContent>
          </w:sdt>
          <w:r>
            <w:rPr>
              <w:sz w:val="24"/>
              <w:szCs w:val="24"/>
            </w:rPr>
            <w:tab/>
          </w:r>
          <w:bookmarkStart w:id="19" w:name="_Toc1268139981_WPSOffice_Level2Page"/>
          <w:r>
            <w:rPr>
              <w:sz w:val="24"/>
              <w:szCs w:val="24"/>
            </w:rPr>
            <w:t>13</w:t>
          </w:r>
          <w:bookmarkEnd w:id="19"/>
          <w:r>
            <w:rPr>
              <w:sz w:val="24"/>
              <w:szCs w:val="24"/>
            </w:rPr>
            <w:fldChar w:fldCharType="end"/>
          </w:r>
        </w:p>
        <w:p w14:paraId="4860B9D2">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_Toc610700763_WPSOffice_Level2 </w:instrText>
          </w:r>
          <w:r>
            <w:rPr>
              <w:sz w:val="24"/>
              <w:szCs w:val="24"/>
            </w:rPr>
            <w:fldChar w:fldCharType="separate"/>
          </w:r>
          <w:sdt>
            <w:sdtPr>
              <w:rPr>
                <w:rFonts w:ascii="Tahoma" w:hAnsi="Tahoma" w:eastAsia="微软雅黑" w:cstheme="minorBidi"/>
                <w:sz w:val="24"/>
                <w:szCs w:val="24"/>
                <w:lang w:val="en-US" w:eastAsia="zh-CN" w:bidi="ar-SA"/>
              </w:rPr>
              <w:id w:val="147471297"/>
              <w:placeholder>
                <w:docPart w:val="{58f07aec-add1-40af-9e11-3276377f2003}"/>
              </w:placeholder>
            </w:sdtPr>
            <w:sdtEndPr>
              <w:rPr>
                <w:rFonts w:ascii="Tahoma" w:hAnsi="Tahoma" w:eastAsia="微软雅黑" w:cstheme="minorBidi"/>
                <w:sz w:val="24"/>
                <w:szCs w:val="24"/>
                <w:lang w:val="en-US" w:eastAsia="zh-CN" w:bidi="ar-SA"/>
              </w:rPr>
            </w:sdtEndPr>
            <w:sdtContent>
              <w:r>
                <w:rPr>
                  <w:rFonts w:hint="eastAsia" w:ascii="仿宋_GB2312" w:hAnsi="仿宋_GB2312" w:eastAsia="仿宋_GB2312" w:cs="仿宋_GB2312"/>
                  <w:sz w:val="24"/>
                  <w:szCs w:val="24"/>
                </w:rPr>
                <w:t>（二）建议移送司法机关处理的人员</w:t>
              </w:r>
            </w:sdtContent>
          </w:sdt>
          <w:r>
            <w:rPr>
              <w:sz w:val="24"/>
              <w:szCs w:val="24"/>
            </w:rPr>
            <w:tab/>
          </w:r>
          <w:bookmarkStart w:id="20" w:name="_Toc610700763_WPSOffice_Level2Page"/>
          <w:r>
            <w:rPr>
              <w:sz w:val="24"/>
              <w:szCs w:val="24"/>
            </w:rPr>
            <w:t>14</w:t>
          </w:r>
          <w:bookmarkEnd w:id="20"/>
          <w:r>
            <w:rPr>
              <w:sz w:val="24"/>
              <w:szCs w:val="24"/>
            </w:rPr>
            <w:fldChar w:fldCharType="end"/>
          </w:r>
        </w:p>
        <w:p w14:paraId="00425A0F">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_Toc178859599_WPSOffice_Level2 </w:instrText>
          </w:r>
          <w:r>
            <w:rPr>
              <w:sz w:val="24"/>
              <w:szCs w:val="24"/>
            </w:rPr>
            <w:fldChar w:fldCharType="separate"/>
          </w:r>
          <w:sdt>
            <w:sdtPr>
              <w:rPr>
                <w:rFonts w:ascii="Tahoma" w:hAnsi="Tahoma" w:eastAsia="微软雅黑" w:cstheme="minorBidi"/>
                <w:sz w:val="24"/>
                <w:szCs w:val="24"/>
                <w:lang w:val="en-US" w:eastAsia="zh-CN" w:bidi="ar-SA"/>
              </w:rPr>
              <w:id w:val="147454699"/>
              <w:placeholder>
                <w:docPart w:val="{a6e83976-9308-4ae1-9f3b-c19c6e9e6501}"/>
              </w:placeholder>
            </w:sdtPr>
            <w:sdtEndPr>
              <w:rPr>
                <w:rFonts w:ascii="Tahoma" w:hAnsi="Tahoma" w:eastAsia="微软雅黑" w:cstheme="minorBidi"/>
                <w:sz w:val="24"/>
                <w:szCs w:val="24"/>
                <w:lang w:val="en-US" w:eastAsia="zh-CN" w:bidi="ar-SA"/>
              </w:rPr>
            </w:sdtEndPr>
            <w:sdtContent>
              <w:r>
                <w:rPr>
                  <w:rFonts w:hint="eastAsia" w:ascii="仿宋_GB2312" w:hAnsi="仿宋_GB2312" w:eastAsia="仿宋_GB2312" w:cs="仿宋_GB2312"/>
                  <w:sz w:val="24"/>
                  <w:szCs w:val="24"/>
                </w:rPr>
                <w:t>（三）对有关公职人员的处理建议</w:t>
              </w:r>
            </w:sdtContent>
          </w:sdt>
          <w:r>
            <w:rPr>
              <w:sz w:val="24"/>
              <w:szCs w:val="24"/>
            </w:rPr>
            <w:tab/>
          </w:r>
          <w:bookmarkStart w:id="21" w:name="_Toc178859599_WPSOffice_Level2Page"/>
          <w:r>
            <w:rPr>
              <w:sz w:val="24"/>
              <w:szCs w:val="24"/>
            </w:rPr>
            <w:t>14</w:t>
          </w:r>
          <w:bookmarkEnd w:id="21"/>
          <w:r>
            <w:rPr>
              <w:sz w:val="24"/>
              <w:szCs w:val="24"/>
            </w:rPr>
            <w:fldChar w:fldCharType="end"/>
          </w:r>
        </w:p>
        <w:p w14:paraId="28F3A32B">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_Toc580912768_WPSOffice_Level2 </w:instrText>
          </w:r>
          <w:r>
            <w:rPr>
              <w:sz w:val="24"/>
              <w:szCs w:val="24"/>
            </w:rPr>
            <w:fldChar w:fldCharType="separate"/>
          </w:r>
          <w:sdt>
            <w:sdtPr>
              <w:rPr>
                <w:rFonts w:ascii="Tahoma" w:hAnsi="Tahoma" w:eastAsia="微软雅黑" w:cstheme="minorBidi"/>
                <w:sz w:val="24"/>
                <w:szCs w:val="24"/>
                <w:lang w:val="en-US" w:eastAsia="zh-CN" w:bidi="ar-SA"/>
              </w:rPr>
              <w:id w:val="147457391"/>
              <w:placeholder>
                <w:docPart w:val="{f578906b-694b-49a7-9b0a-4691bbe631b5}"/>
              </w:placeholder>
            </w:sdtPr>
            <w:sdtEndPr>
              <w:rPr>
                <w:rFonts w:ascii="Tahoma" w:hAnsi="Tahoma" w:eastAsia="微软雅黑" w:cstheme="minorBidi"/>
                <w:sz w:val="24"/>
                <w:szCs w:val="24"/>
                <w:lang w:val="en-US" w:eastAsia="zh-CN" w:bidi="ar-SA"/>
              </w:rPr>
            </w:sdtEndPr>
            <w:sdtContent>
              <w:r>
                <w:rPr>
                  <w:rFonts w:hint="eastAsia" w:ascii="仿宋_GB2312" w:hAnsi="仿宋_GB2312" w:eastAsia="仿宋_GB2312" w:cs="仿宋_GB2312"/>
                  <w:sz w:val="24"/>
                  <w:szCs w:val="24"/>
                </w:rPr>
                <w:t>（四）对事故有关责任人员和责任单位的行政处罚建议</w:t>
              </w:r>
            </w:sdtContent>
          </w:sdt>
          <w:r>
            <w:rPr>
              <w:sz w:val="24"/>
              <w:szCs w:val="24"/>
            </w:rPr>
            <w:tab/>
          </w:r>
          <w:bookmarkStart w:id="22" w:name="_Toc580912768_WPSOffice_Level2Page"/>
          <w:r>
            <w:rPr>
              <w:sz w:val="24"/>
              <w:szCs w:val="24"/>
            </w:rPr>
            <w:t>15</w:t>
          </w:r>
          <w:bookmarkEnd w:id="22"/>
          <w:r>
            <w:rPr>
              <w:sz w:val="24"/>
              <w:szCs w:val="24"/>
            </w:rPr>
            <w:fldChar w:fldCharType="end"/>
          </w:r>
        </w:p>
        <w:p w14:paraId="70921594">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_Toc649432080_WPSOffice_Level2 </w:instrText>
          </w:r>
          <w:r>
            <w:rPr>
              <w:sz w:val="24"/>
              <w:szCs w:val="24"/>
            </w:rPr>
            <w:fldChar w:fldCharType="separate"/>
          </w:r>
          <w:sdt>
            <w:sdtPr>
              <w:rPr>
                <w:rFonts w:ascii="Tahoma" w:hAnsi="Tahoma" w:eastAsia="微软雅黑" w:cstheme="minorBidi"/>
                <w:sz w:val="24"/>
                <w:szCs w:val="24"/>
                <w:lang w:val="en-US" w:eastAsia="zh-CN" w:bidi="ar-SA"/>
              </w:rPr>
              <w:id w:val="147481702"/>
              <w:placeholder>
                <w:docPart w:val="{c8fd4535-9436-4a6e-bb55-825e66dd2f42}"/>
              </w:placeholder>
            </w:sdtPr>
            <w:sdtEndPr>
              <w:rPr>
                <w:rFonts w:ascii="Tahoma" w:hAnsi="Tahoma" w:eastAsia="微软雅黑" w:cstheme="minorBidi"/>
                <w:sz w:val="24"/>
                <w:szCs w:val="24"/>
                <w:lang w:val="en-US" w:eastAsia="zh-CN" w:bidi="ar-SA"/>
              </w:rPr>
            </w:sdtEndPr>
            <w:sdtContent>
              <w:r>
                <w:rPr>
                  <w:rFonts w:hint="eastAsia" w:ascii="楷体" w:hAnsi="楷体" w:eastAsia="楷体" w:cs="华文仿宋"/>
                  <w:sz w:val="24"/>
                  <w:szCs w:val="24"/>
                </w:rPr>
                <w:t>（五）其他处理建议</w:t>
              </w:r>
            </w:sdtContent>
          </w:sdt>
          <w:r>
            <w:rPr>
              <w:sz w:val="24"/>
              <w:szCs w:val="24"/>
            </w:rPr>
            <w:tab/>
          </w:r>
          <w:bookmarkStart w:id="23" w:name="_Toc649432080_WPSOffice_Level2Page"/>
          <w:r>
            <w:rPr>
              <w:sz w:val="24"/>
              <w:szCs w:val="24"/>
            </w:rPr>
            <w:t>15</w:t>
          </w:r>
          <w:bookmarkEnd w:id="23"/>
          <w:r>
            <w:rPr>
              <w:sz w:val="24"/>
              <w:szCs w:val="24"/>
            </w:rPr>
            <w:fldChar w:fldCharType="end"/>
          </w:r>
        </w:p>
        <w:p w14:paraId="22AD1F22">
          <w:pPr>
            <w:pStyle w:val="32"/>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sz w:val="24"/>
              <w:szCs w:val="24"/>
            </w:rPr>
            <w:instrText xml:space="preserve"> HYPERLINK \l _Toc1277998881_WPSOffice_Level1 </w:instrText>
          </w:r>
          <w:r>
            <w:rPr>
              <w:b/>
              <w:bCs/>
              <w:sz w:val="24"/>
              <w:szCs w:val="24"/>
            </w:rPr>
            <w:fldChar w:fldCharType="separate"/>
          </w:r>
          <w:sdt>
            <w:sdtPr>
              <w:rPr>
                <w:rFonts w:ascii="Tahoma" w:hAnsi="Tahoma" w:eastAsia="微软雅黑" w:cstheme="minorBidi"/>
                <w:b/>
                <w:bCs/>
                <w:sz w:val="24"/>
                <w:szCs w:val="24"/>
                <w:lang w:val="en-US" w:eastAsia="zh-CN" w:bidi="ar-SA"/>
              </w:rPr>
              <w:id w:val="147458121"/>
              <w:placeholder>
                <w:docPart w:val="{acda20ae-dbcb-4a86-aa6d-650d34d79913}"/>
              </w:placeholder>
            </w:sdtPr>
            <w:sdtEndPr>
              <w:rPr>
                <w:rFonts w:ascii="Tahoma" w:hAnsi="Tahoma" w:eastAsia="微软雅黑" w:cstheme="minorBidi"/>
                <w:b/>
                <w:bCs/>
                <w:sz w:val="24"/>
                <w:szCs w:val="24"/>
                <w:lang w:val="en-US" w:eastAsia="zh-CN" w:bidi="ar-SA"/>
              </w:rPr>
            </w:sdtEndPr>
            <w:sdtContent>
              <w:r>
                <w:rPr>
                  <w:rFonts w:hint="eastAsia" w:ascii="黑体" w:hAnsi="黑体" w:eastAsia="黑体" w:cs="华文仿宋"/>
                  <w:b/>
                  <w:bCs/>
                  <w:sz w:val="24"/>
                  <w:szCs w:val="24"/>
                </w:rPr>
                <w:t>六、事故防范和整改措施</w:t>
              </w:r>
            </w:sdtContent>
          </w:sdt>
          <w:r>
            <w:rPr>
              <w:b/>
              <w:bCs/>
              <w:sz w:val="24"/>
              <w:szCs w:val="24"/>
            </w:rPr>
            <w:tab/>
          </w:r>
          <w:bookmarkStart w:id="24" w:name="_Toc1277998881_WPSOffice_Level1Page"/>
          <w:r>
            <w:rPr>
              <w:b/>
              <w:bCs/>
              <w:sz w:val="24"/>
              <w:szCs w:val="24"/>
            </w:rPr>
            <w:t>16</w:t>
          </w:r>
          <w:bookmarkEnd w:id="24"/>
          <w:r>
            <w:rPr>
              <w:b/>
              <w:bCs/>
              <w:sz w:val="24"/>
              <w:szCs w:val="24"/>
            </w:rPr>
            <w:fldChar w:fldCharType="end"/>
          </w:r>
        </w:p>
        <w:p w14:paraId="62CF68D1">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_Toc2146658289_WPSOffice_Level2 </w:instrText>
          </w:r>
          <w:r>
            <w:rPr>
              <w:sz w:val="24"/>
              <w:szCs w:val="24"/>
            </w:rPr>
            <w:fldChar w:fldCharType="separate"/>
          </w:r>
          <w:sdt>
            <w:sdtPr>
              <w:rPr>
                <w:rFonts w:ascii="Tahoma" w:hAnsi="Tahoma" w:eastAsia="微软雅黑" w:cstheme="minorBidi"/>
                <w:sz w:val="24"/>
                <w:szCs w:val="24"/>
                <w:lang w:val="en-US" w:eastAsia="zh-CN" w:bidi="ar-SA"/>
              </w:rPr>
              <w:id w:val="147481946"/>
              <w:placeholder>
                <w:docPart w:val="{be65da42-3e74-4141-aedc-710e339f421a}"/>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（一）牢固树立安全发展理念</w:t>
              </w:r>
            </w:sdtContent>
          </w:sdt>
          <w:r>
            <w:rPr>
              <w:sz w:val="24"/>
              <w:szCs w:val="24"/>
            </w:rPr>
            <w:tab/>
          </w:r>
          <w:bookmarkStart w:id="25" w:name="_Toc2146658289_WPSOffice_Level2Page"/>
          <w:r>
            <w:rPr>
              <w:sz w:val="24"/>
              <w:szCs w:val="24"/>
            </w:rPr>
            <w:t>16</w:t>
          </w:r>
          <w:bookmarkEnd w:id="25"/>
          <w:r>
            <w:rPr>
              <w:sz w:val="24"/>
              <w:szCs w:val="24"/>
            </w:rPr>
            <w:fldChar w:fldCharType="end"/>
          </w:r>
        </w:p>
        <w:p w14:paraId="58FB317B">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rPr>
              <w:sz w:val="24"/>
              <w:szCs w:val="24"/>
            </w:rPr>
          </w:pPr>
          <w:r>
            <w:rPr>
              <w:sz w:val="24"/>
              <w:szCs w:val="24"/>
            </w:rPr>
            <w:fldChar w:fldCharType="begin"/>
          </w:r>
          <w:r>
            <w:rPr>
              <w:sz w:val="24"/>
              <w:szCs w:val="24"/>
            </w:rPr>
            <w:instrText xml:space="preserve"> HYPERLINK \l _Toc1825543518_WPSOffice_Level2 </w:instrText>
          </w:r>
          <w:r>
            <w:rPr>
              <w:sz w:val="24"/>
              <w:szCs w:val="24"/>
            </w:rPr>
            <w:fldChar w:fldCharType="separate"/>
          </w:r>
          <w:sdt>
            <w:sdtPr>
              <w:rPr>
                <w:rFonts w:ascii="Tahoma" w:hAnsi="Tahoma" w:eastAsia="微软雅黑" w:cstheme="minorBidi"/>
                <w:sz w:val="24"/>
                <w:szCs w:val="24"/>
                <w:lang w:val="en-US" w:eastAsia="zh-CN" w:bidi="ar-SA"/>
              </w:rPr>
              <w:id w:val="147460811"/>
              <w:placeholder>
                <w:docPart w:val="{f27f83b7-3fad-4013-8190-1ae466731093}"/>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（二）做好特种设备安全监管</w:t>
              </w:r>
            </w:sdtContent>
          </w:sdt>
          <w:r>
            <w:rPr>
              <w:sz w:val="24"/>
              <w:szCs w:val="24"/>
            </w:rPr>
            <w:tab/>
          </w:r>
          <w:bookmarkStart w:id="26" w:name="_Toc1825543518_WPSOffice_Level2Page"/>
          <w:r>
            <w:rPr>
              <w:sz w:val="24"/>
              <w:szCs w:val="24"/>
            </w:rPr>
            <w:t>17</w:t>
          </w:r>
          <w:bookmarkEnd w:id="26"/>
          <w:r>
            <w:rPr>
              <w:sz w:val="24"/>
              <w:szCs w:val="24"/>
            </w:rPr>
            <w:fldChar w:fldCharType="end"/>
          </w:r>
        </w:p>
        <w:p w14:paraId="52286FB2">
          <w:pPr>
            <w:pStyle w:val="33"/>
            <w:keepNext w:val="0"/>
            <w:keepLines w:val="0"/>
            <w:pageBreakBefore w:val="0"/>
            <w:widowControl/>
            <w:tabs>
              <w:tab w:val="right" w:leader="dot" w:pos="8306"/>
            </w:tabs>
            <w:kinsoku/>
            <w:wordWrap/>
            <w:overflowPunct/>
            <w:topLinePunct w:val="0"/>
            <w:autoSpaceDE/>
            <w:autoSpaceDN/>
            <w:bidi w:val="0"/>
            <w:adjustRightInd/>
            <w:snapToGrid/>
            <w:spacing w:line="400" w:lineRule="exact"/>
            <w:textAlignment w:val="auto"/>
          </w:pPr>
          <w:r>
            <w:rPr>
              <w:sz w:val="24"/>
              <w:szCs w:val="24"/>
            </w:rPr>
            <w:fldChar w:fldCharType="begin"/>
          </w:r>
          <w:r>
            <w:rPr>
              <w:sz w:val="24"/>
              <w:szCs w:val="24"/>
            </w:rPr>
            <w:instrText xml:space="preserve"> HYPERLINK \l _Toc1965674056_WPSOffice_Level2 </w:instrText>
          </w:r>
          <w:r>
            <w:rPr>
              <w:sz w:val="24"/>
              <w:szCs w:val="24"/>
            </w:rPr>
            <w:fldChar w:fldCharType="separate"/>
          </w:r>
          <w:sdt>
            <w:sdtPr>
              <w:rPr>
                <w:rFonts w:ascii="Tahoma" w:hAnsi="Tahoma" w:eastAsia="微软雅黑" w:cstheme="minorBidi"/>
                <w:sz w:val="24"/>
                <w:szCs w:val="24"/>
                <w:lang w:val="en-US" w:eastAsia="zh-CN" w:bidi="ar-SA"/>
              </w:rPr>
              <w:id w:val="147464221"/>
              <w:placeholder>
                <w:docPart w:val="{25519988-387f-43c3-8aac-f68ffc230970}"/>
              </w:placeholder>
            </w:sdtPr>
            <w:sdtEndPr>
              <w:rPr>
                <w:rFonts w:ascii="Tahoma" w:hAnsi="Tahoma" w:eastAsia="微软雅黑" w:cstheme="minorBidi"/>
                <w:sz w:val="24"/>
                <w:szCs w:val="24"/>
                <w:lang w:val="en-US" w:eastAsia="zh-CN" w:bidi="ar-SA"/>
              </w:rPr>
            </w:sdtEndPr>
            <w:sdtContent>
              <w:r>
                <w:rPr>
                  <w:rFonts w:hint="eastAsia" w:ascii="华文楷体" w:hAnsi="华文楷体" w:eastAsia="华文楷体" w:cs="华文楷体"/>
                  <w:sz w:val="24"/>
                  <w:szCs w:val="24"/>
                </w:rPr>
                <w:t>（三）强化企业主体责任落实</w:t>
              </w:r>
            </w:sdtContent>
          </w:sdt>
          <w:r>
            <w:rPr>
              <w:sz w:val="24"/>
              <w:szCs w:val="24"/>
            </w:rPr>
            <w:tab/>
          </w:r>
          <w:bookmarkStart w:id="27" w:name="_Toc1965674056_WPSOffice_Level2Page"/>
          <w:r>
            <w:rPr>
              <w:sz w:val="24"/>
              <w:szCs w:val="24"/>
            </w:rPr>
            <w:t>17</w:t>
          </w:r>
          <w:bookmarkEnd w:id="27"/>
          <w:r>
            <w:rPr>
              <w:sz w:val="24"/>
              <w:szCs w:val="24"/>
            </w:rPr>
            <w:fldChar w:fldCharType="end"/>
          </w:r>
        </w:p>
        <w:bookmarkEnd w:id="0"/>
        <w:p w14:paraId="7215C614">
          <w:pPr>
            <w:pStyle w:val="32"/>
            <w:tabs>
              <w:tab w:val="right" w:leader="dot" w:pos="8306"/>
            </w:tabs>
          </w:pPr>
        </w:p>
      </w:sdtContent>
    </w:sdt>
    <w:p w14:paraId="7EDBC897">
      <w:pPr>
        <w:spacing w:line="240" w:lineRule="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07CBF4E0">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2023年4月12日10时45分许，龙湾区永中街道浙江瓯越交建科技股份有限公司预制场内发生一起通用门式起重机伤害事故，事故造成2人死亡，3人受伤，直接经济损失约354.9万元。</w:t>
      </w:r>
    </w:p>
    <w:p w14:paraId="3A050F6C">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根据市领导指示精神，依据《生产安全事故报告和调查处理条例》（国务院令第493号）、《浙江省生产安全事故报告和调查处理规定》（浙江省人民政府令第310号）及《温州市人民政府关于进一步明确安全事故调查处理工作有关事项的通知》（温政发〔2013〕68号）的规定，温州市应急管理局牵头成立由市应急管理局、市公安局、市总工会、市市场监管局、市国资委、龙湾区政府及有关部门组成的温州市龙湾区浙江瓯越交建科技股份有限公司“4·12”起重伤害事故调查组（以下简称事故调查组），开展事故调查工作</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rPr>
        <w:t>并邀请市纪委监委、市检察院参加事故调查，同时聘请有关专家对事故原因进行技术鉴定。</w:t>
      </w:r>
    </w:p>
    <w:p w14:paraId="2176AC8D">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坚持“四不放过”和“科学严谨、依法依规、实事求是、注重实效”的原则，通过现场勘验、调阅资料、人员询问、调查取证、技术鉴定、专家论证等，查明了事故经过、发生原因、人员伤亡和直接经济损失等情况，认定了事故性质和责任，提出了对有关责任人员和责任单位的处理建议，以及防范和整改措施建议。</w:t>
      </w:r>
    </w:p>
    <w:p w14:paraId="651DF195">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经调查认定，温州市龙湾区浙江瓯越交建科技股份有限公司“4·12”起重伤害事故是一起一般</w:t>
      </w:r>
      <w:r>
        <w:rPr>
          <w:rFonts w:hint="eastAsia" w:ascii="仿宋_GB2312" w:hAnsi="仿宋_GB2312" w:eastAsia="仿宋_GB2312" w:cs="仿宋_GB2312"/>
          <w:sz w:val="32"/>
          <w:szCs w:val="32"/>
          <w:lang w:val="en-US" w:eastAsia="zh-CN"/>
        </w:rPr>
        <w:t>生产安全</w:t>
      </w:r>
      <w:r>
        <w:rPr>
          <w:rFonts w:hint="eastAsia" w:ascii="仿宋_GB2312" w:hAnsi="仿宋_GB2312" w:eastAsia="仿宋_GB2312" w:cs="仿宋_GB2312"/>
          <w:sz w:val="32"/>
          <w:szCs w:val="32"/>
        </w:rPr>
        <w:t>责任事故。</w:t>
      </w:r>
    </w:p>
    <w:p w14:paraId="2C774258">
      <w:pPr>
        <w:spacing w:after="0" w:line="560" w:lineRule="exact"/>
        <w:ind w:firstLine="960" w:firstLineChars="300"/>
        <w:jc w:val="both"/>
        <w:outlineLvl w:val="0"/>
        <w:rPr>
          <w:rFonts w:ascii="黑体" w:hAnsi="黑体" w:eastAsia="黑体" w:cs="仿宋"/>
          <w:b w:val="0"/>
          <w:bCs w:val="0"/>
          <w:sz w:val="32"/>
          <w:szCs w:val="32"/>
        </w:rPr>
      </w:pPr>
      <w:bookmarkStart w:id="28" w:name="_Toc529564273_WPSOffice_Level1"/>
      <w:r>
        <w:rPr>
          <w:rFonts w:hint="eastAsia" w:ascii="黑体" w:hAnsi="黑体" w:eastAsia="黑体" w:cs="仿宋"/>
          <w:b w:val="0"/>
          <w:bCs w:val="0"/>
          <w:sz w:val="32"/>
          <w:szCs w:val="32"/>
        </w:rPr>
        <w:t>一、事故基本情况</w:t>
      </w:r>
      <w:bookmarkEnd w:id="28"/>
      <w:r>
        <w:rPr>
          <w:rFonts w:hint="eastAsia" w:ascii="黑体" w:hAnsi="黑体" w:eastAsia="黑体" w:cs="仿宋"/>
          <w:b w:val="0"/>
          <w:bCs w:val="0"/>
          <w:sz w:val="32"/>
          <w:szCs w:val="32"/>
        </w:rPr>
        <w:tab/>
      </w:r>
    </w:p>
    <w:p w14:paraId="02521C7D">
      <w:pPr>
        <w:spacing w:after="0" w:line="560" w:lineRule="exact"/>
        <w:ind w:firstLine="640" w:firstLineChars="200"/>
        <w:jc w:val="both"/>
        <w:outlineLvl w:val="1"/>
        <w:rPr>
          <w:rFonts w:hint="eastAsia" w:ascii="华文楷体" w:hAnsi="华文楷体" w:eastAsia="华文楷体" w:cs="华文楷体"/>
          <w:sz w:val="32"/>
          <w:szCs w:val="32"/>
        </w:rPr>
      </w:pPr>
      <w:bookmarkStart w:id="29" w:name="_Toc872120469_WPSOffice_Level2"/>
      <w:r>
        <w:rPr>
          <w:rFonts w:hint="eastAsia" w:ascii="华文楷体" w:hAnsi="华文楷体" w:eastAsia="华文楷体" w:cs="华文楷体"/>
          <w:sz w:val="32"/>
          <w:szCs w:val="32"/>
        </w:rPr>
        <w:t>（</w:t>
      </w:r>
      <w:r>
        <w:rPr>
          <w:rFonts w:hint="eastAsia" w:ascii="华文楷体" w:hAnsi="华文楷体" w:eastAsia="华文楷体" w:cs="华文楷体"/>
          <w:b/>
          <w:bCs/>
          <w:sz w:val="32"/>
          <w:szCs w:val="32"/>
        </w:rPr>
        <w:t>一）浙江瓯越交建科技股份有限公司预制场概况</w:t>
      </w:r>
      <w:bookmarkEnd w:id="29"/>
    </w:p>
    <w:p w14:paraId="23604482">
      <w:pPr>
        <w:spacing w:after="0" w:line="560" w:lineRule="exact"/>
        <w:ind w:firstLine="640" w:firstLineChars="200"/>
        <w:jc w:val="both"/>
        <w:rPr>
          <w:rFonts w:hint="eastAsia" w:ascii="仿宋_GB2312" w:hAnsi="仿宋_GB2312" w:eastAsia="仿宋_GB2312" w:cs="仿宋_GB2312"/>
          <w:sz w:val="32"/>
          <w:szCs w:val="32"/>
        </w:rPr>
      </w:pPr>
      <w:bookmarkStart w:id="30" w:name="_Toc1510884079"/>
      <w:r>
        <w:rPr>
          <w:rFonts w:hint="eastAsia" w:ascii="仿宋_GB2312" w:hAnsi="仿宋_GB2312" w:eastAsia="仿宋_GB2312" w:cs="仿宋_GB2312"/>
          <w:sz w:val="32"/>
          <w:szCs w:val="32"/>
        </w:rPr>
        <w:t>该预制场系浙江瓯越交建科技股份有限公司（以下称瓯越交建公司）向永中街道办事处租赁用于生产桥梁梁板，地址龙湾区永中街道双岙村，租期为2020年7月1日至2023年6月30日。</w:t>
      </w:r>
      <w:bookmarkEnd w:id="30"/>
    </w:p>
    <w:p w14:paraId="05F0099D">
      <w:pPr>
        <w:spacing w:after="0" w:line="560" w:lineRule="exact"/>
        <w:ind w:firstLine="643" w:firstLineChars="200"/>
        <w:jc w:val="both"/>
        <w:outlineLvl w:val="1"/>
        <w:rPr>
          <w:rFonts w:hint="eastAsia" w:ascii="华文楷体" w:hAnsi="华文楷体" w:eastAsia="华文楷体" w:cs="华文楷体"/>
          <w:b/>
          <w:bCs/>
          <w:sz w:val="32"/>
          <w:szCs w:val="32"/>
        </w:rPr>
      </w:pPr>
      <w:bookmarkStart w:id="31" w:name="_Toc2126847106_WPSOffice_Level2"/>
      <w:r>
        <w:rPr>
          <w:rFonts w:hint="eastAsia" w:ascii="华文楷体" w:hAnsi="华文楷体" w:eastAsia="华文楷体" w:cs="华文楷体"/>
          <w:b/>
          <w:bCs/>
          <w:sz w:val="32"/>
          <w:szCs w:val="32"/>
        </w:rPr>
        <w:t>（二）门式起重机租赁概况</w:t>
      </w:r>
      <w:bookmarkEnd w:id="31"/>
    </w:p>
    <w:p w14:paraId="2ABC0360">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生产需要，瓯越交建公司向杭州百盛机械设备租赁有限公司（以下称百盛租赁公司）租用门式起重机9台及其他设备。双方于2021年12月27日签订了《金丽温东延双岙预制场预制T梁生产设备和钢模板租赁合同》（合同编号：ZOJJKJ-QT-2021-026），约定瓯越交建公司在设备技术性能允许的范围内指挥设备作业，不得在规定作业范围外安排作业等；约定百盛租赁公司负责组织设备的进出场、提供经验丰富的管理人员负责指导或操作设备、按照瓯越交建公司设备管理规定执行，服从瓯越交建公司现场指挥及安排；约定租赁期限为12个月、租赁费用总计人民币23054038元；约定租赁期间的维护检修、日常检查、操作使用等由百盛租赁公司负责等。</w:t>
      </w:r>
    </w:p>
    <w:p w14:paraId="0B55B05C">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百盛租赁公司出租设备后，于2021年4月开始陆续将9台门式起重机开进场作业。预制场生产结束后，百盛租赁公司于2022年12月和2023年3月份委托其安装单位</w:t>
      </w:r>
      <w:r>
        <w:rPr>
          <w:rFonts w:hint="eastAsia" w:ascii="仿宋_GB2312" w:hAnsi="仿宋_GB2312" w:eastAsia="仿宋_GB2312" w:cs="仿宋_GB2312"/>
          <w:sz w:val="32"/>
          <w:szCs w:val="32"/>
          <w:lang w:eastAsia="zh-CN"/>
        </w:rPr>
        <w:t>安徽</w:t>
      </w:r>
      <w:r>
        <w:rPr>
          <w:rFonts w:hint="eastAsia" w:ascii="仿宋_GB2312" w:hAnsi="仿宋_GB2312" w:eastAsia="仿宋_GB2312" w:cs="仿宋_GB2312"/>
          <w:sz w:val="32"/>
          <w:szCs w:val="32"/>
        </w:rPr>
        <w:t>省中冶重工机械有限公司分2次将其中的6台门式起重机拆除，剩下3台大型门式起重机（包括涉事门式起重机）继续留用，用于清理预制场的桥梁预制板。</w:t>
      </w:r>
    </w:p>
    <w:p w14:paraId="6C433780">
      <w:pPr>
        <w:spacing w:after="0" w:line="560" w:lineRule="exact"/>
        <w:ind w:firstLine="643" w:firstLineChars="200"/>
        <w:jc w:val="both"/>
        <w:outlineLvl w:val="1"/>
        <w:rPr>
          <w:rFonts w:hint="eastAsia" w:ascii="华文楷体" w:hAnsi="华文楷体" w:eastAsia="华文楷体" w:cs="华文楷体"/>
          <w:b/>
          <w:bCs/>
          <w:sz w:val="32"/>
          <w:szCs w:val="32"/>
        </w:rPr>
      </w:pPr>
      <w:bookmarkStart w:id="32" w:name="_Toc1801288189_WPSOffice_Level2"/>
      <w:r>
        <w:rPr>
          <w:rFonts w:hint="eastAsia" w:ascii="华文楷体" w:hAnsi="华文楷体" w:eastAsia="华文楷体" w:cs="华文楷体"/>
          <w:b/>
          <w:bCs/>
          <w:sz w:val="32"/>
          <w:szCs w:val="32"/>
        </w:rPr>
        <w:t>（三）施工劳务承包概况</w:t>
      </w:r>
      <w:bookmarkEnd w:id="32"/>
    </w:p>
    <w:p w14:paraId="5D7D643B">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生产需要，瓯越交建公司将预制构件施工劳务等发包给宁波市汇众路建劳务有限公司（以下称宁波汇众公司）施工。双方于2021年10月签订了《金丽温高速公路东延线工程双岙预制场建设及梁板预制施工劳务合同》，约定宁波汇众公司建立健全安全生产、文明施工组织机构，并遵守瓯越交建公司的相关规章制度；约定为确保安全生产，配备至少2名专职安全员负责全过程对施工现场进行监控；约定在预制构件车运、翻车、装车过程中，龙门吊（门式起重机）大车行走时，龙门吊大车两边至少需1人看护并在非正常情况时及时通知起重指挥停止龙门吊作业；约定在完成构件预制施工的过程中龙门吊等设备的操作、日常保养、检查、修理时人工配合等由其负责。</w:t>
      </w:r>
    </w:p>
    <w:p w14:paraId="08E4F0C7">
      <w:pPr>
        <w:spacing w:after="0" w:line="560" w:lineRule="exact"/>
        <w:ind w:firstLine="643" w:firstLineChars="200"/>
        <w:jc w:val="both"/>
        <w:outlineLvl w:val="1"/>
        <w:rPr>
          <w:rFonts w:hint="eastAsia" w:ascii="华文楷体" w:hAnsi="华文楷体" w:eastAsia="华文楷体" w:cs="华文楷体"/>
          <w:b/>
          <w:bCs/>
          <w:sz w:val="32"/>
          <w:szCs w:val="32"/>
        </w:rPr>
      </w:pPr>
      <w:bookmarkStart w:id="33" w:name="_Toc383243081_WPSOffice_Level2"/>
      <w:r>
        <w:rPr>
          <w:rFonts w:hint="eastAsia" w:ascii="华文楷体" w:hAnsi="华文楷体" w:eastAsia="华文楷体" w:cs="华文楷体"/>
          <w:b/>
          <w:bCs/>
          <w:sz w:val="32"/>
          <w:szCs w:val="32"/>
        </w:rPr>
        <w:t>（四）涉事门式起重机概况</w:t>
      </w:r>
      <w:bookmarkEnd w:id="33"/>
    </w:p>
    <w:p w14:paraId="0AF85EBD">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事门式重机产权属于浙江交工路桥建设有限公司所有，系百盛租赁公司租用后再转租给瓯越交建公司。额定载荷：60T+60T/10T，制造单位：安徽省中冶重工机械有限公司，产权单位：浙江交工路桥建设有限公司，监检单位：温州市特种设备检测科学研究院，下次检验日期：2023年8月18日，登记机关：杭州市市场监督管理局。</w:t>
      </w:r>
    </w:p>
    <w:p w14:paraId="7FE128EC">
      <w:pPr>
        <w:spacing w:after="0" w:line="560" w:lineRule="exact"/>
        <w:ind w:firstLine="643" w:firstLineChars="200"/>
        <w:jc w:val="both"/>
        <w:outlineLvl w:val="1"/>
        <w:rPr>
          <w:rFonts w:hint="eastAsia" w:ascii="华文楷体" w:hAnsi="华文楷体" w:eastAsia="华文楷体" w:cs="华文楷体"/>
          <w:b/>
          <w:bCs/>
          <w:sz w:val="32"/>
          <w:szCs w:val="32"/>
        </w:rPr>
      </w:pPr>
      <w:bookmarkStart w:id="34" w:name="_Toc1277998881_WPSOffice_Level2"/>
      <w:r>
        <w:rPr>
          <w:rFonts w:hint="eastAsia" w:ascii="华文楷体" w:hAnsi="华文楷体" w:eastAsia="华文楷体" w:cs="华文楷体"/>
          <w:b/>
          <w:bCs/>
          <w:sz w:val="32"/>
          <w:szCs w:val="32"/>
        </w:rPr>
        <w:t>（五）事故发生单位及相关单位基本情况</w:t>
      </w:r>
      <w:bookmarkEnd w:id="34"/>
    </w:p>
    <w:p w14:paraId="433D2BEB">
      <w:pPr>
        <w:spacing w:after="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1.宁波市汇众路建劳务有限公司，</w:t>
      </w:r>
      <w:r>
        <w:rPr>
          <w:rFonts w:hint="eastAsia" w:ascii="仿宋_GB2312" w:hAnsi="仿宋_GB2312" w:eastAsia="仿宋_GB2312" w:cs="仿宋_GB2312"/>
          <w:sz w:val="32"/>
          <w:szCs w:val="32"/>
        </w:rPr>
        <w:t>系预制构件施工承包单位。统一社会信用代码：91330211796018213T，公司类型：有限责任公司(自然人投资或控股)，住所：浙江省宁波市镇海区蛟川街道大运路1号2 幢宁波镇海液体化工产品交易市场E区304，营业期限2006年12月21日至长期，法定代表人为沈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，经营范围：建筑劳务分包、承包:经济信息咨询服务;环保、建筑、交通 ，绿化工程施工;机械设备租赁;工程技术咨询服务，建材电器的批发、零售。(依法须经批准的项目，经相关部门批准后方可开展经营活动)。已取得建筑业企业资质证书，证书编号：D333088649；有效期自2018年9月7日至2023年12月31号。</w:t>
      </w:r>
    </w:p>
    <w:p w14:paraId="2BF42469">
      <w:pPr>
        <w:spacing w:after="0" w:line="560" w:lineRule="exact"/>
        <w:ind w:firstLine="643" w:firstLineChars="20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2.杭州百盛机械设备租赁有限公司，</w:t>
      </w:r>
      <w:r>
        <w:rPr>
          <w:rFonts w:hint="eastAsia" w:ascii="仿宋_GB2312" w:hAnsi="仿宋_GB2312" w:eastAsia="仿宋_GB2312" w:cs="仿宋_GB2312"/>
          <w:b w:val="0"/>
          <w:bCs w:val="0"/>
          <w:sz w:val="32"/>
          <w:szCs w:val="32"/>
        </w:rPr>
        <w:t>系涉事门式重机出租单位</w:t>
      </w:r>
      <w:r>
        <w:rPr>
          <w:rFonts w:hint="eastAsia" w:ascii="仿宋_GB2312" w:hAnsi="仿宋_GB2312" w:eastAsia="仿宋_GB2312" w:cs="仿宋_GB2312"/>
          <w:b w:val="0"/>
          <w:bCs w:val="0"/>
          <w:sz w:val="32"/>
          <w:szCs w:val="32"/>
          <w:vertAlign w:val="superscript"/>
        </w:rPr>
        <w:footnoteReference w:id="0"/>
      </w:r>
      <w:r>
        <w:rPr>
          <w:rFonts w:hint="eastAsia" w:ascii="仿宋_GB2312" w:hAnsi="仿宋_GB2312" w:eastAsia="仿宋_GB2312" w:cs="仿宋_GB2312"/>
          <w:b w:val="0"/>
          <w:bCs w:val="0"/>
          <w:sz w:val="32"/>
          <w:szCs w:val="32"/>
        </w:rPr>
        <w:t>。统一社会信用代码：91330183MA28UCKU7R，类型：有限责任公司（自然人控投或私营性持企业控投），住所：杭州市富阳区东洲街道紫铜村，成立日期：2017年06月26日，法定代表人：葛</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，设备管理负责人：朱</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，经营范围：普通机械设备销售，租赁，维修；建筑工程施工，技术咨询服务。（依法须经批准的项目，经相关部门批准后方可开展经营活动）。</w:t>
      </w:r>
    </w:p>
    <w:p w14:paraId="7B573B33">
      <w:pPr>
        <w:spacing w:after="0" w:line="560" w:lineRule="exact"/>
        <w:ind w:firstLine="643" w:firstLineChars="20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3.浙江瓯越交建科技股份有限公司，</w:t>
      </w:r>
      <w:r>
        <w:rPr>
          <w:rFonts w:hint="eastAsia" w:ascii="仿宋_GB2312" w:hAnsi="仿宋_GB2312" w:eastAsia="仿宋_GB2312" w:cs="仿宋_GB2312"/>
          <w:b w:val="0"/>
          <w:bCs w:val="0"/>
          <w:sz w:val="32"/>
          <w:szCs w:val="32"/>
        </w:rPr>
        <w:t>系国有股份制企业。统一社会信用代码：91330300MA299PB9XP，由5家股东组成（分别是温州交通发展集团占股34%，中交第二航务工程局占股30%，温州城发集团市政工程公司占股26%，温州设计集团占股5%，洞头国资公司占股5%），住所：浙江省温州市洞头区大门镇营盘基村，类型：股份有限公司（非上市、国有控股），法定代表人：郭鹏程</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注册资本为肆亿陆仟万元整，成日日期为：2017年11月17日，经营范围：建筑工业化预制构件生产、销售、运输、安装；建筑工业化研发、设计、咨询和技术服务；建材生产、销售；公路工程、市政公用工程、建筑工程的承包施工；钢结构工程设计、运营维护；工程咨询；建筑工程检测服务；矿山石料开采、加工；机械设备租赁；场地租赁。</w:t>
      </w:r>
    </w:p>
    <w:p w14:paraId="1EF52A00">
      <w:pPr>
        <w:spacing w:after="0" w:line="560" w:lineRule="exact"/>
        <w:ind w:firstLine="640" w:firstLineChars="20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公司共有职工80多人，设质量安全部，有在编人员5人，质量安全部负责人（专职安全管理）员：金</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，派驻黄</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、朱</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2名管理人员从事现场施工监督管理、安全生产的监管、生产进度跟踪、计量结算等工作。2023年3月5日该2名现场管理人员被其召回，后续预制场未再派人员参与管理至事发日。</w:t>
      </w:r>
    </w:p>
    <w:p w14:paraId="5E1CD444">
      <w:pPr>
        <w:spacing w:after="0" w:line="580" w:lineRule="exact"/>
        <w:ind w:firstLine="640" w:firstLineChars="200"/>
        <w:jc w:val="both"/>
        <w:outlineLvl w:val="0"/>
        <w:rPr>
          <w:rFonts w:hint="eastAsia" w:ascii="黑体" w:hAnsi="黑体" w:eastAsia="黑体" w:cs="仿宋"/>
          <w:b w:val="0"/>
          <w:bCs w:val="0"/>
          <w:sz w:val="32"/>
          <w:szCs w:val="32"/>
        </w:rPr>
      </w:pPr>
      <w:bookmarkStart w:id="35" w:name="_Toc872120469_WPSOffice_Level1"/>
      <w:r>
        <w:rPr>
          <w:rFonts w:hint="eastAsia" w:ascii="黑体" w:hAnsi="黑体" w:eastAsia="黑体" w:cs="仿宋"/>
          <w:b w:val="0"/>
          <w:bCs w:val="0"/>
          <w:sz w:val="32"/>
          <w:szCs w:val="32"/>
        </w:rPr>
        <w:t>二、事故发生经过和应急处置情况</w:t>
      </w:r>
      <w:bookmarkEnd w:id="35"/>
    </w:p>
    <w:p w14:paraId="445D7B20">
      <w:pPr>
        <w:spacing w:after="0" w:line="580" w:lineRule="exact"/>
        <w:ind w:firstLine="619" w:firstLineChars="200"/>
        <w:jc w:val="both"/>
        <w:outlineLvl w:val="1"/>
        <w:rPr>
          <w:rFonts w:ascii="楷体" w:hAnsi="楷体" w:eastAsia="楷体" w:cs="华文仿宋"/>
          <w:b/>
          <w:bCs/>
          <w:color w:val="000000"/>
          <w:spacing w:val="-6"/>
          <w:sz w:val="32"/>
          <w:szCs w:val="32"/>
        </w:rPr>
      </w:pPr>
      <w:bookmarkStart w:id="36" w:name="_Toc396417498_WPSOffice_Level2"/>
      <w:r>
        <w:rPr>
          <w:rFonts w:hint="eastAsia" w:ascii="楷体" w:hAnsi="楷体" w:eastAsia="楷体" w:cs="华文仿宋"/>
          <w:b/>
          <w:bCs/>
          <w:color w:val="000000"/>
          <w:spacing w:val="-6"/>
          <w:sz w:val="32"/>
          <w:szCs w:val="32"/>
        </w:rPr>
        <w:t>（一）事故发生经过</w:t>
      </w:r>
      <w:bookmarkEnd w:id="36"/>
    </w:p>
    <w:p w14:paraId="794EEEE7">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2023年4月12日7时许，龙湾区永中街道浙江瓯越交建科技股份有限公司预制场内胡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5名工人开始进行预制场清理工作，期间操作通用门式起重机进行吊运地面工字钢、预制构件模板等物品，现场由胡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遥控操作通用门式起重机吊装作业、申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负责遥控操作起重机移动作业，作业过程中起重机发出异响，5位作业人员进行起重机故障排除，王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到起重机驾驶舱检查电路，胡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三人到起重机主梁与刚性支腿连接处进行检修，对主梁与支腿连接处螺栓实施拆除，三人检修半小时左右时，在地面整理工字钢的施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被</w:t>
      </w:r>
      <w:r>
        <w:rPr>
          <w:rFonts w:hint="eastAsia" w:ascii="仿宋_GB2312" w:hAnsi="仿宋_GB2312" w:eastAsia="仿宋_GB2312" w:cs="仿宋_GB2312"/>
          <w:sz w:val="32"/>
          <w:szCs w:val="32"/>
          <w:lang w:val="en-US" w:eastAsia="zh-CN"/>
        </w:rPr>
        <w:t>金*</w:t>
      </w:r>
      <w:r>
        <w:rPr>
          <w:rFonts w:hint="eastAsia" w:ascii="仿宋_GB2312" w:hAnsi="仿宋_GB2312" w:eastAsia="仿宋_GB2312" w:cs="仿宋_GB2312"/>
          <w:sz w:val="32"/>
          <w:szCs w:val="32"/>
        </w:rPr>
        <w:t>叫到起重机主梁与刚性支腿连接处协助作业，四人继续作业约半小时左右于10时45分许，起重机重心偏移，继而整体倾斜倒塌，造成王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当场死亡，胡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经送医院抢救无效死亡，其余3人受伤。</w:t>
      </w:r>
    </w:p>
    <w:p w14:paraId="35F51A58">
      <w:pPr>
        <w:spacing w:after="0" w:line="580" w:lineRule="exact"/>
        <w:ind w:firstLine="643" w:firstLineChars="200"/>
        <w:jc w:val="both"/>
        <w:outlineLvl w:val="1"/>
        <w:rPr>
          <w:rFonts w:ascii="楷体" w:hAnsi="楷体" w:eastAsia="楷体" w:cs="仿宋"/>
          <w:b/>
          <w:bCs/>
          <w:sz w:val="32"/>
          <w:szCs w:val="32"/>
        </w:rPr>
      </w:pPr>
      <w:bookmarkStart w:id="37" w:name="_Toc1478360337_WPSOffice_Level2"/>
      <w:r>
        <w:rPr>
          <w:rFonts w:hint="eastAsia" w:ascii="楷体" w:hAnsi="楷体" w:eastAsia="楷体" w:cs="仿宋"/>
          <w:b/>
          <w:bCs/>
          <w:sz w:val="32"/>
          <w:szCs w:val="32"/>
        </w:rPr>
        <w:t>（二）事故现场情况</w:t>
      </w:r>
      <w:bookmarkEnd w:id="37"/>
    </w:p>
    <w:p w14:paraId="5EFF4E91">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涉事通用门式起重机主梁和支腿等部件倒塌于预制场地面，刚性支腿、驾驶室被压在主梁下方，主梁扭曲变形；一台小车架在主梁上方，已脱轨，另一台小车</w:t>
      </w:r>
      <w:r>
        <w:rPr>
          <w:rFonts w:hint="eastAsia" w:ascii="仿宋_GB2312" w:hAnsi="仿宋_GB2312" w:eastAsia="仿宋_GB2312" w:cs="仿宋_GB2312"/>
          <w:sz w:val="32"/>
          <w:szCs w:val="32"/>
          <w:lang w:eastAsia="zh-CN"/>
        </w:rPr>
        <w:t>倾</w:t>
      </w:r>
      <w:r>
        <w:rPr>
          <w:rFonts w:hint="eastAsia" w:ascii="仿宋_GB2312" w:hAnsi="仿宋_GB2312" w:eastAsia="仿宋_GB2312" w:cs="仿宋_GB2312"/>
          <w:sz w:val="32"/>
          <w:szCs w:val="32"/>
        </w:rPr>
        <w:t>翻于两主梁之间；柔性支腿联接处断裂，紧跟主梁；设备周围有散落的螺栓、螺母、电动扳手、联接板等。现场未见用于固定起重机的缆风绳和汽车吊，事故设备吊具处于空置状态，下方未见吊物（如图1、图2所示）。</w:t>
      </w:r>
    </w:p>
    <w:p w14:paraId="26D87E2C">
      <w:pPr>
        <w:pStyle w:val="2"/>
        <w:jc w:val="both"/>
      </w:pPr>
    </w:p>
    <w:p w14:paraId="2A651051">
      <w:pPr>
        <w:spacing w:after="0" w:line="360" w:lineRule="auto"/>
        <w:ind w:firstLine="600" w:firstLineChars="200"/>
        <w:jc w:val="both"/>
        <w:rPr>
          <w:rFonts w:ascii="仿宋" w:hAnsi="仿宋" w:eastAsia="仿宋" w:cs="仿宋"/>
          <w:sz w:val="30"/>
          <w:szCs w:val="30"/>
        </w:rPr>
      </w:pPr>
    </w:p>
    <w:p w14:paraId="66C95A10">
      <w:pPr>
        <w:pStyle w:val="2"/>
      </w:pPr>
    </w:p>
    <w:p w14:paraId="07BE7F5A">
      <w:pPr>
        <w:pStyle w:val="2"/>
        <w:jc w:val="both"/>
        <w:rPr>
          <w:rFonts w:ascii="仿宋" w:hAnsi="仿宋" w:eastAsia="仿宋" w:cs="仿宋"/>
          <w:sz w:val="30"/>
          <w:szCs w:val="30"/>
        </w:rPr>
      </w:pPr>
    </w:p>
    <w:p w14:paraId="46B60BFB">
      <w:pPr>
        <w:pStyle w:val="2"/>
        <w:ind w:left="0" w:firstLine="0"/>
        <w:jc w:val="both"/>
        <w:rPr>
          <w:rFonts w:ascii="仿宋" w:hAnsi="仿宋" w:eastAsia="仿宋" w:cs="仿宋"/>
          <w:sz w:val="30"/>
          <w:szCs w:val="30"/>
        </w:rPr>
      </w:pPr>
    </w:p>
    <w:p w14:paraId="1D8A55F5">
      <w:pPr>
        <w:jc w:val="both"/>
      </w:pPr>
      <w:r>
        <w:drawing>
          <wp:anchor distT="0" distB="0" distL="0" distR="0" simplePos="0" relativeHeight="251660288" behindDoc="0" locked="0" layoutInCell="0" allowOverlap="0">
            <wp:simplePos x="0" y="0"/>
            <wp:positionH relativeFrom="page">
              <wp:posOffset>1143000</wp:posOffset>
            </wp:positionH>
            <wp:positionV relativeFrom="paragraph">
              <wp:posOffset>0</wp:posOffset>
            </wp:positionV>
            <wp:extent cx="5737860" cy="4105275"/>
            <wp:effectExtent l="0" t="0" r="0" b="9525"/>
            <wp:wrapNone/>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6"/>
                    <a:stretch>
                      <a:fillRect/>
                    </a:stretch>
                  </pic:blipFill>
                  <pic:spPr>
                    <a:xfrm>
                      <a:off x="0" y="0"/>
                      <a:ext cx="5738742" cy="4105906"/>
                    </a:xfrm>
                    <a:prstGeom prst="rect">
                      <a:avLst/>
                    </a:prstGeom>
                    <a:noFill/>
                    <a:ln>
                      <a:noFill/>
                    </a:ln>
                  </pic:spPr>
                </pic:pic>
              </a:graphicData>
            </a:graphic>
          </wp:anchor>
        </w:drawing>
      </w:r>
    </w:p>
    <w:p w14:paraId="0E5B4C3E">
      <w:pPr>
        <w:ind w:firstLine="3080" w:firstLineChars="1400"/>
        <w:jc w:val="both"/>
      </w:pPr>
    </w:p>
    <w:p w14:paraId="412A5CE5">
      <w:pPr>
        <w:ind w:firstLine="3080" w:firstLineChars="1400"/>
        <w:jc w:val="both"/>
      </w:pPr>
    </w:p>
    <w:p w14:paraId="43EDFEEA">
      <w:pPr>
        <w:jc w:val="both"/>
      </w:pPr>
      <w:r>
        <w:rPr>
          <w:rFonts w:hint="eastAsia"/>
        </w:rPr>
        <w:t>图1 涉事现场情况</w:t>
      </w:r>
    </w:p>
    <w:p w14:paraId="426ACF00">
      <w:pPr>
        <w:pStyle w:val="2"/>
      </w:pPr>
    </w:p>
    <w:p w14:paraId="26365126">
      <w:pPr>
        <w:pStyle w:val="2"/>
      </w:pPr>
    </w:p>
    <w:p w14:paraId="14F147EF">
      <w:pPr>
        <w:pStyle w:val="2"/>
      </w:pPr>
    </w:p>
    <w:p w14:paraId="4B323E76">
      <w:pPr>
        <w:pStyle w:val="2"/>
      </w:pPr>
    </w:p>
    <w:p w14:paraId="6BEEEF18">
      <w:pPr>
        <w:pStyle w:val="2"/>
        <w:ind w:left="0" w:firstLine="0"/>
      </w:pPr>
    </w:p>
    <w:p w14:paraId="0D0F5EAF">
      <w:pPr>
        <w:pStyle w:val="2"/>
        <w:ind w:firstLine="3080" w:firstLineChars="1100"/>
      </w:pPr>
    </w:p>
    <w:p w14:paraId="5ADB4571">
      <w:pPr>
        <w:pStyle w:val="2"/>
        <w:ind w:firstLine="3080" w:firstLineChars="1100"/>
      </w:pPr>
      <w:r>
        <w:rPr>
          <w:rFonts w:hint="eastAsia"/>
        </w:rPr>
        <w:t>图1 涉事门式起重机</w:t>
      </w:r>
    </w:p>
    <w:p w14:paraId="76C5CCA2">
      <w:pPr>
        <w:jc w:val="both"/>
      </w:pPr>
    </w:p>
    <w:p w14:paraId="7DB505F4">
      <w:pPr>
        <w:jc w:val="both"/>
      </w:pPr>
    </w:p>
    <w:p w14:paraId="36079574">
      <w:pPr>
        <w:jc w:val="center"/>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图1  涉事门式起重机</w:t>
      </w:r>
    </w:p>
    <w:p w14:paraId="6182DB17">
      <w:pPr>
        <w:jc w:val="both"/>
      </w:pPr>
      <w:r>
        <w:rPr>
          <w:rFonts w:hint="eastAsia"/>
        </w:rPr>
        <w:drawing>
          <wp:inline distT="0" distB="0" distL="114300" distR="114300">
            <wp:extent cx="5613400" cy="3633470"/>
            <wp:effectExtent l="0" t="0" r="6350" b="5080"/>
            <wp:docPr id="1" name="图片 1" descr="da53e3c17d402a31a4f46eed15ea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a53e3c17d402a31a4f46eed15ea7709"/>
                    <pic:cNvPicPr>
                      <a:picLocks noChangeAspect="1"/>
                    </pic:cNvPicPr>
                  </pic:nvPicPr>
                  <pic:blipFill>
                    <a:blip r:embed="rId7"/>
                    <a:stretch>
                      <a:fillRect/>
                    </a:stretch>
                  </pic:blipFill>
                  <pic:spPr>
                    <a:xfrm>
                      <a:off x="0" y="0"/>
                      <a:ext cx="5617435" cy="3636184"/>
                    </a:xfrm>
                    <a:prstGeom prst="rect">
                      <a:avLst/>
                    </a:prstGeom>
                  </pic:spPr>
                </pic:pic>
              </a:graphicData>
            </a:graphic>
          </wp:inline>
        </w:drawing>
      </w:r>
    </w:p>
    <w:p w14:paraId="1FE12FE2">
      <w:pPr>
        <w:pStyle w:val="2"/>
        <w:ind w:left="0" w:firstLine="3120" w:firstLineChars="13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图2  涉事现场</w:t>
      </w:r>
    </w:p>
    <w:p w14:paraId="3780B5B3">
      <w:pPr>
        <w:spacing w:after="0" w:line="360" w:lineRule="auto"/>
        <w:ind w:firstLine="602" w:firstLineChars="200"/>
        <w:jc w:val="both"/>
        <w:outlineLvl w:val="1"/>
        <w:rPr>
          <w:rFonts w:ascii="楷体" w:hAnsi="楷体" w:eastAsia="楷体" w:cs="仿宋"/>
          <w:b/>
          <w:bCs/>
          <w:sz w:val="30"/>
          <w:szCs w:val="30"/>
        </w:rPr>
      </w:pPr>
      <w:bookmarkStart w:id="38" w:name="_Toc1826598286_WPSOffice_Level2"/>
      <w:r>
        <w:rPr>
          <w:rFonts w:hint="eastAsia" w:ascii="楷体" w:hAnsi="楷体" w:eastAsia="楷体" w:cs="仿宋"/>
          <w:b/>
          <w:bCs/>
          <w:sz w:val="30"/>
          <w:szCs w:val="30"/>
        </w:rPr>
        <w:t>（三）事故现场应急处置及评估情况</w:t>
      </w:r>
      <w:bookmarkEnd w:id="38"/>
    </w:p>
    <w:p w14:paraId="78F0AFFF">
      <w:pPr>
        <w:spacing w:after="0" w:line="360" w:lineRule="auto"/>
        <w:ind w:firstLine="904" w:firstLineChars="300"/>
        <w:jc w:val="both"/>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1.事故现场应急处置</w:t>
      </w:r>
    </w:p>
    <w:p w14:paraId="4CDF899E">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龙湾区消防救援大队于上午10时45分接温州市消防救援指挥中心指令，于10时55分到达事故现场开展救援，11时35分救援结束。龙湾区公安分局中心区派出所10时51分接110警单，于10时58分到达事故现场。龙湾区应急管理局、永中街道办事处10时50分接龙湾区应急联动指挥中心通知，于11时05分到达事故现场并开展相关工作。120救护人员10时46分接到警单，于10时56分到达事故现场，经医护人员确认，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已当场死亡，随后120救护车将胡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4人送往温州市附属第二人民医院龙湾院区救治。胡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经抢救无效于13时30分宣布死亡。市、区有关领导第一时间赶赴现场，并组织事故救援和善后处置工作。</w:t>
      </w:r>
    </w:p>
    <w:p w14:paraId="7AFCF754">
      <w:pPr>
        <w:spacing w:after="0" w:line="360" w:lineRule="auto"/>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2.现场应急处置评估</w:t>
      </w:r>
    </w:p>
    <w:p w14:paraId="7240E30B">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起事故发生后，应急响应启动及时，信息接收、流转与报送畅通，龙湾区公安、应急、住建、消防、医院120等相关职能部门协调联动密切，处置迅速；应急救援指挥得当，调动有序，应急救援队伍（消防）训练有素、技能过硬，救援装备物资储备充分，保障到位，应急处置方案制定科学、规范，针对性强；市、县两级党委、政府统一指挥、统一调度和全面统筹责任落实到位，争取了第一时间快速有效处置，现场处置得当，确保了救援人员绝对安全，杜绝了次生事故发生。</w:t>
      </w:r>
    </w:p>
    <w:p w14:paraId="69696493">
      <w:pPr>
        <w:spacing w:after="0" w:line="520" w:lineRule="exact"/>
        <w:ind w:firstLine="619" w:firstLineChars="200"/>
        <w:jc w:val="both"/>
        <w:outlineLvl w:val="1"/>
        <w:rPr>
          <w:rFonts w:ascii="楷体" w:hAnsi="楷体" w:eastAsia="楷体" w:cs="华文仿宋"/>
          <w:color w:val="000000"/>
          <w:spacing w:val="-6"/>
          <w:sz w:val="32"/>
          <w:szCs w:val="32"/>
        </w:rPr>
      </w:pPr>
      <w:bookmarkStart w:id="39" w:name="_Toc1329649172_WPSOffice_Level2"/>
      <w:r>
        <w:rPr>
          <w:rFonts w:hint="eastAsia" w:ascii="楷体" w:hAnsi="楷体" w:eastAsia="楷体" w:cs="华文仿宋"/>
          <w:b/>
          <w:bCs/>
          <w:color w:val="000000"/>
          <w:spacing w:val="-6"/>
          <w:sz w:val="32"/>
          <w:szCs w:val="32"/>
        </w:rPr>
        <w:t>（</w:t>
      </w:r>
      <w:r>
        <w:rPr>
          <w:rFonts w:hint="eastAsia" w:ascii="楷体" w:hAnsi="楷体" w:eastAsia="楷体" w:cs="华文仿宋"/>
          <w:b/>
          <w:bCs/>
          <w:color w:val="000000"/>
          <w:spacing w:val="-6"/>
          <w:sz w:val="32"/>
          <w:szCs w:val="32"/>
          <w:lang w:eastAsia="zh-CN"/>
        </w:rPr>
        <w:t>四</w:t>
      </w:r>
      <w:r>
        <w:rPr>
          <w:rFonts w:hint="eastAsia" w:ascii="楷体" w:hAnsi="楷体" w:eastAsia="楷体" w:cs="华文仿宋"/>
          <w:b/>
          <w:bCs/>
          <w:color w:val="000000"/>
          <w:spacing w:val="-6"/>
          <w:sz w:val="32"/>
          <w:szCs w:val="32"/>
        </w:rPr>
        <w:t>）人员伤亡情况及直接经济损失</w:t>
      </w:r>
      <w:bookmarkEnd w:id="39"/>
    </w:p>
    <w:p w14:paraId="441D168A">
      <w:pPr>
        <w:spacing w:after="0" w:line="560" w:lineRule="exact"/>
        <w:ind w:firstLine="616" w:firstLineChars="200"/>
        <w:jc w:val="both"/>
        <w:rPr>
          <w:rFonts w:hint="eastAsia" w:ascii="仿宋_GB2312" w:hAnsi="仿宋_GB2312" w:eastAsia="仿宋_GB2312" w:cs="仿宋_GB2312"/>
          <w:color w:val="000000"/>
          <w:spacing w:val="-6"/>
          <w:sz w:val="32"/>
          <w:szCs w:val="32"/>
        </w:rPr>
      </w:pPr>
      <w:r>
        <w:rPr>
          <w:rFonts w:hint="eastAsia" w:ascii="仿宋_GB2312" w:hAnsi="仿宋_GB2312" w:eastAsia="仿宋_GB2312" w:cs="仿宋_GB2312"/>
          <w:color w:val="000000"/>
          <w:spacing w:val="-6"/>
          <w:sz w:val="32"/>
          <w:szCs w:val="32"/>
        </w:rPr>
        <w:t>本次事故造成2人死亡、3人受伤，直接经济损失约35</w:t>
      </w:r>
      <w:r>
        <w:rPr>
          <w:rFonts w:hint="eastAsia" w:ascii="仿宋_GB2312" w:hAnsi="仿宋_GB2312" w:eastAsia="仿宋_GB2312" w:cs="仿宋_GB2312"/>
          <w:color w:val="000000"/>
          <w:spacing w:val="-6"/>
          <w:sz w:val="32"/>
          <w:szCs w:val="32"/>
          <w:lang w:val="en-US" w:eastAsia="zh-CN"/>
        </w:rPr>
        <w:t>4.9</w:t>
      </w:r>
      <w:r>
        <w:rPr>
          <w:rFonts w:hint="eastAsia" w:ascii="仿宋_GB2312" w:hAnsi="仿宋_GB2312" w:eastAsia="仿宋_GB2312" w:cs="仿宋_GB2312"/>
          <w:color w:val="000000"/>
          <w:spacing w:val="-6"/>
          <w:sz w:val="32"/>
          <w:szCs w:val="32"/>
        </w:rPr>
        <w:t>万元。</w:t>
      </w:r>
    </w:p>
    <w:p w14:paraId="0CBF46AC">
      <w:pPr>
        <w:spacing w:after="0" w:line="560" w:lineRule="exact"/>
        <w:ind w:firstLine="619" w:firstLineChars="200"/>
        <w:jc w:val="both"/>
        <w:rPr>
          <w:rFonts w:hint="eastAsia" w:ascii="仿宋_GB2312" w:hAnsi="仿宋_GB2312" w:eastAsia="仿宋_GB2312" w:cs="仿宋_GB2312"/>
          <w:b/>
          <w:bCs/>
          <w:color w:val="000000"/>
          <w:spacing w:val="-6"/>
          <w:sz w:val="32"/>
          <w:szCs w:val="32"/>
        </w:rPr>
      </w:pPr>
      <w:r>
        <w:rPr>
          <w:rFonts w:hint="eastAsia" w:ascii="仿宋_GB2312" w:hAnsi="仿宋_GB2312" w:eastAsia="仿宋_GB2312" w:cs="仿宋_GB2312"/>
          <w:b/>
          <w:bCs/>
          <w:color w:val="000000"/>
          <w:spacing w:val="-6"/>
          <w:sz w:val="32"/>
          <w:szCs w:val="32"/>
        </w:rPr>
        <w:t>1.人员伤亡情况</w:t>
      </w:r>
    </w:p>
    <w:p w14:paraId="564596F6">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，男，身份证号33062319731111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，户籍地浙江省嵊州市三界镇，普工（电工），死亡。</w:t>
      </w:r>
    </w:p>
    <w:p w14:paraId="1A07AE23">
      <w:pPr>
        <w:spacing w:after="0"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，男，身份证号34122219701012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，户籍地安徽省太和县关集镇，起重机班组长，死亡</w:t>
      </w:r>
      <w:r>
        <w:rPr>
          <w:rFonts w:hint="eastAsia" w:ascii="仿宋_GB2312" w:hAnsi="仿宋_GB2312" w:eastAsia="仿宋_GB2312" w:cs="仿宋_GB2312"/>
          <w:sz w:val="32"/>
          <w:szCs w:val="32"/>
          <w:lang w:eastAsia="zh-CN"/>
        </w:rPr>
        <w:t>。</w:t>
      </w:r>
    </w:p>
    <w:p w14:paraId="234E322E">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，男，身份证号13112219921126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，户籍地河北省衡水市武邑县赵桥镇</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，普工，受伤。</w:t>
      </w:r>
    </w:p>
    <w:p w14:paraId="48F9FE58">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，男，身份证号13043419810619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，户籍地河北省衡水市桃城区，起重机班组辅助工，受伤。</w:t>
      </w:r>
    </w:p>
    <w:p w14:paraId="1572DA90">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，男，身份证号53252519900208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，户籍地云南省红河哈尼族彝族自治州石屏县龙朋镇，钢筋工，受伤 。</w:t>
      </w:r>
    </w:p>
    <w:p w14:paraId="49712795">
      <w:pPr>
        <w:spacing w:after="0" w:line="580" w:lineRule="exact"/>
        <w:ind w:firstLine="619"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color w:val="000000"/>
          <w:spacing w:val="-6"/>
          <w:sz w:val="32"/>
          <w:szCs w:val="32"/>
        </w:rPr>
        <w:t>2.直接经济损失</w:t>
      </w:r>
    </w:p>
    <w:p w14:paraId="4A4B4E1C">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根据《企业职工伤亡事故经济损失统计标准（GB6721-1986）》等标准和规定统计，该事故造成直接经济损失约354.93万元。其中包括医疗费用(含护理费用)</w:t>
      </w:r>
      <w:r>
        <w:rPr>
          <w:rFonts w:hint="eastAsia" w:ascii="仿宋_GB2312" w:hAnsi="仿宋_GB2312" w:eastAsia="仿宋_GB2312" w:cs="仿宋_GB2312"/>
          <w:sz w:val="32"/>
          <w:szCs w:val="32"/>
          <w:lang w:eastAsia="zh-CN"/>
        </w:rPr>
        <w:t>截至目前</w:t>
      </w:r>
      <w:r>
        <w:rPr>
          <w:rFonts w:hint="eastAsia" w:ascii="仿宋_GB2312" w:hAnsi="仿宋_GB2312" w:eastAsia="仿宋_GB2312" w:cs="仿宋_GB2312"/>
          <w:sz w:val="32"/>
          <w:szCs w:val="32"/>
        </w:rPr>
        <w:t>约11.8万元， 丧葬及抚恤费用330.03万元，歇工工资5.4万元，处理事故的事务性费用2.5万元，清理现场费用0.2万元， 财产损失价值约5万元。</w:t>
      </w:r>
    </w:p>
    <w:p w14:paraId="5F29AA9E">
      <w:pPr>
        <w:spacing w:after="0" w:line="520" w:lineRule="exact"/>
        <w:ind w:firstLine="619" w:firstLineChars="200"/>
        <w:jc w:val="both"/>
        <w:outlineLvl w:val="1"/>
        <w:rPr>
          <w:rFonts w:hint="eastAsia" w:ascii="楷体" w:hAnsi="楷体" w:eastAsia="楷体" w:cs="华文仿宋"/>
          <w:b/>
          <w:bCs/>
          <w:color w:val="000000"/>
          <w:spacing w:val="-6"/>
          <w:sz w:val="32"/>
          <w:szCs w:val="32"/>
        </w:rPr>
      </w:pPr>
      <w:bookmarkStart w:id="40" w:name="_Toc1776076948_WPSOffice_Level2"/>
      <w:r>
        <w:rPr>
          <w:rFonts w:hint="eastAsia" w:ascii="楷体" w:hAnsi="楷体" w:eastAsia="楷体" w:cs="华文仿宋"/>
          <w:b/>
          <w:bCs/>
          <w:color w:val="000000"/>
          <w:spacing w:val="-6"/>
          <w:sz w:val="32"/>
          <w:szCs w:val="32"/>
        </w:rPr>
        <w:t>（</w:t>
      </w:r>
      <w:r>
        <w:rPr>
          <w:rFonts w:hint="eastAsia" w:ascii="楷体" w:hAnsi="楷体" w:eastAsia="楷体" w:cs="华文仿宋"/>
          <w:b/>
          <w:bCs/>
          <w:color w:val="000000"/>
          <w:spacing w:val="-6"/>
          <w:sz w:val="32"/>
          <w:szCs w:val="32"/>
          <w:lang w:eastAsia="zh-CN"/>
        </w:rPr>
        <w:t>五</w:t>
      </w:r>
      <w:r>
        <w:rPr>
          <w:rFonts w:hint="eastAsia" w:ascii="楷体" w:hAnsi="楷体" w:eastAsia="楷体" w:cs="华文仿宋"/>
          <w:b/>
          <w:bCs/>
          <w:color w:val="000000"/>
          <w:spacing w:val="-6"/>
          <w:sz w:val="32"/>
          <w:szCs w:val="32"/>
        </w:rPr>
        <w:t>）医疗救治和善后情况</w:t>
      </w:r>
      <w:bookmarkEnd w:id="40"/>
    </w:p>
    <w:p w14:paraId="18068EF1">
      <w:pPr>
        <w:spacing w:after="0" w:line="560" w:lineRule="exact"/>
        <w:ind w:firstLine="619" w:firstLineChars="200"/>
        <w:jc w:val="both"/>
        <w:rPr>
          <w:rFonts w:hint="eastAsia" w:ascii="仿宋_GB2312" w:hAnsi="仿宋_GB2312" w:eastAsia="仿宋_GB2312" w:cs="仿宋_GB2312"/>
          <w:b/>
          <w:bCs/>
          <w:color w:val="000000"/>
          <w:spacing w:val="-6"/>
          <w:sz w:val="32"/>
          <w:szCs w:val="32"/>
        </w:rPr>
      </w:pPr>
      <w:r>
        <w:rPr>
          <w:rFonts w:hint="eastAsia" w:ascii="仿宋_GB2312" w:hAnsi="仿宋_GB2312" w:eastAsia="仿宋_GB2312" w:cs="仿宋_GB2312"/>
          <w:b/>
          <w:bCs/>
          <w:color w:val="000000"/>
          <w:spacing w:val="-6"/>
          <w:sz w:val="32"/>
          <w:szCs w:val="32"/>
        </w:rPr>
        <w:t>1.医疗救治情况</w:t>
      </w:r>
    </w:p>
    <w:p w14:paraId="21D9A36E">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120急救医务人员于10时56分到达现场，医务人员现场确认1人死亡（王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 人受伤，立即对伤者开展现场救治，并将4名伤者（胡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）送至温州市附属第二人民医院龙湾院区救治（其中胡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经抢救无效于当日13时30分许死亡）。申建雨、金超、施忠林等3名伤者病情稳定，无生命危险。</w:t>
      </w:r>
    </w:p>
    <w:p w14:paraId="1D2F1DFC">
      <w:pPr>
        <w:spacing w:after="0" w:line="560" w:lineRule="exact"/>
        <w:ind w:firstLine="619" w:firstLineChars="200"/>
        <w:jc w:val="both"/>
        <w:rPr>
          <w:rFonts w:hint="eastAsia" w:ascii="仿宋_GB2312" w:hAnsi="仿宋_GB2312" w:eastAsia="仿宋_GB2312" w:cs="仿宋_GB2312"/>
          <w:b/>
          <w:bCs/>
          <w:color w:val="000000"/>
          <w:spacing w:val="-6"/>
          <w:sz w:val="32"/>
          <w:szCs w:val="32"/>
        </w:rPr>
      </w:pPr>
      <w:r>
        <w:rPr>
          <w:rFonts w:hint="eastAsia" w:ascii="仿宋_GB2312" w:hAnsi="仿宋_GB2312" w:eastAsia="仿宋_GB2312" w:cs="仿宋_GB2312"/>
          <w:b/>
          <w:bCs/>
          <w:color w:val="000000"/>
          <w:spacing w:val="-6"/>
          <w:sz w:val="32"/>
          <w:szCs w:val="32"/>
        </w:rPr>
        <w:t>2.善后情况</w:t>
      </w:r>
    </w:p>
    <w:p w14:paraId="5C654D7C">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善后处理组分别于4月14日与胡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家属达成补偿协议，并签订协议书，于4月18日与王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家属达成补偿协议，并签订协议书。</w:t>
      </w:r>
    </w:p>
    <w:p w14:paraId="793751A1">
      <w:pPr>
        <w:pStyle w:val="2"/>
        <w:spacing w:line="560" w:lineRule="exact"/>
        <w:ind w:left="0" w:firstLine="640" w:firstLineChars="200"/>
        <w:jc w:val="both"/>
        <w:outlineLvl w:val="0"/>
        <w:rPr>
          <w:rFonts w:hint="default" w:ascii="华文仿宋" w:hAnsi="华文仿宋" w:eastAsia="华文仿宋" w:cs="华文仿宋"/>
          <w:color w:val="000000"/>
          <w:spacing w:val="-6"/>
          <w:sz w:val="32"/>
          <w:szCs w:val="32"/>
          <w:lang w:val="en-US" w:eastAsia="zh-CN"/>
        </w:rPr>
      </w:pPr>
      <w:bookmarkStart w:id="41" w:name="_Toc2126847106_WPSOffice_Level1"/>
      <w:r>
        <w:rPr>
          <w:rFonts w:hint="eastAsia" w:ascii="黑体" w:hAnsi="黑体" w:eastAsia="黑体" w:cs="黑体"/>
          <w:b w:val="0"/>
          <w:bCs w:val="0"/>
          <w:sz w:val="32"/>
          <w:szCs w:val="32"/>
        </w:rPr>
        <w:t>三、事故原因分析</w:t>
      </w:r>
      <w:bookmarkEnd w:id="41"/>
    </w:p>
    <w:p w14:paraId="09FA8392">
      <w:pPr>
        <w:spacing w:after="0" w:line="580" w:lineRule="exact"/>
        <w:ind w:firstLine="640" w:firstLineChars="200"/>
        <w:jc w:val="both"/>
        <w:rPr>
          <w:rFonts w:hint="eastAsia" w:ascii="仿宋_GB2312" w:hAnsi="仿宋_GB2312" w:eastAsia="仿宋_GB2312" w:cs="仿宋_GB2312"/>
          <w:sz w:val="32"/>
          <w:szCs w:val="32"/>
        </w:rPr>
      </w:pPr>
      <w:bookmarkStart w:id="42" w:name="_Toc1408667174"/>
      <w:r>
        <w:rPr>
          <w:rFonts w:hint="eastAsia" w:ascii="仿宋_GB2312" w:hAnsi="仿宋_GB2312" w:eastAsia="仿宋_GB2312" w:cs="仿宋_GB2312"/>
          <w:sz w:val="32"/>
          <w:szCs w:val="32"/>
        </w:rPr>
        <w:t>涉事门式起重机主梁与刚性支腿的联接处螺栓被大部分拆除，主梁和支腿的刚性联接被解除，而此时主梁和支腿未进行有效固定，刚性支腿与主梁的接触面形成滑动，整体重心产生偏移，主梁产生倾斜并倒塌，致使柔性支腿结构件断裂，进而整机倒塌，是该起事故发生的直接原因。</w:t>
      </w:r>
      <w:bookmarkEnd w:id="42"/>
    </w:p>
    <w:p w14:paraId="37DB558F">
      <w:pPr>
        <w:spacing w:after="0" w:line="580" w:lineRule="exact"/>
        <w:ind w:firstLine="640" w:firstLineChars="200"/>
        <w:jc w:val="both"/>
        <w:rPr>
          <w:rFonts w:hint="eastAsia" w:ascii="仿宋_GB2312" w:hAnsi="仿宋_GB2312" w:eastAsia="仿宋_GB2312" w:cs="仿宋_GB2312"/>
          <w:sz w:val="32"/>
          <w:szCs w:val="32"/>
        </w:rPr>
      </w:pPr>
      <w:bookmarkStart w:id="43" w:name="_Toc71267294"/>
      <w:r>
        <w:rPr>
          <w:rFonts w:hint="eastAsia" w:ascii="仿宋_GB2312" w:hAnsi="仿宋_GB2312" w:eastAsia="仿宋_GB2312" w:cs="仿宋_GB2312"/>
          <w:sz w:val="32"/>
          <w:szCs w:val="32"/>
        </w:rPr>
        <w:t>特种设备出租（使用）单位，未建立健全安全工作制度、操作规程和预防性维护的规定；未按照规定配备特种设备安全管理人员；现场作业人员未受过相应的安全教育和技能培训，不熟悉该起重机维护的有关程序、操作知识和安全防护措施及其危险性；发现起重机异响故障后，未按规定报告，现场监督管理不到位，在安全装备和措施不足的情况下，擅自违反操作规程进行作业，是该起事故发生的间接原因。</w:t>
      </w:r>
      <w:bookmarkEnd w:id="43"/>
    </w:p>
    <w:p w14:paraId="6BBEF18A">
      <w:pPr>
        <w:spacing w:line="560" w:lineRule="exact"/>
        <w:ind w:firstLine="473"/>
        <w:jc w:val="both"/>
        <w:outlineLvl w:val="0"/>
        <w:rPr>
          <w:rFonts w:ascii="黑体" w:hAnsi="黑体" w:eastAsia="黑体" w:cs="华文仿宋"/>
          <w:color w:val="000000" w:themeColor="text1"/>
          <w:spacing w:val="-6"/>
          <w:sz w:val="32"/>
          <w:szCs w:val="32"/>
          <w14:textFill>
            <w14:solidFill>
              <w14:schemeClr w14:val="tx1"/>
            </w14:solidFill>
          </w14:textFill>
        </w:rPr>
      </w:pPr>
      <w:bookmarkStart w:id="44" w:name="_Toc1801288189_WPSOffice_Level1"/>
      <w:r>
        <w:rPr>
          <w:rFonts w:hint="eastAsia" w:ascii="黑体" w:hAnsi="黑体" w:eastAsia="黑体" w:cs="华文仿宋"/>
          <w:color w:val="000000" w:themeColor="text1"/>
          <w:spacing w:val="-6"/>
          <w:sz w:val="32"/>
          <w:szCs w:val="32"/>
          <w14:textFill>
            <w14:solidFill>
              <w14:schemeClr w14:val="tx1"/>
            </w14:solidFill>
          </w14:textFill>
        </w:rPr>
        <w:t>四、有关责任单位存在的主要问题</w:t>
      </w:r>
      <w:bookmarkEnd w:id="44"/>
    </w:p>
    <w:p w14:paraId="35A32EC3">
      <w:pPr>
        <w:spacing w:after="0" w:line="520" w:lineRule="exact"/>
        <w:ind w:firstLine="619" w:firstLineChars="200"/>
        <w:jc w:val="both"/>
        <w:outlineLvl w:val="1"/>
        <w:rPr>
          <w:rFonts w:hint="eastAsia" w:ascii="仿宋_GB2312" w:hAnsi="仿宋_GB2312" w:eastAsia="仿宋_GB2312" w:cs="仿宋_GB2312"/>
          <w:b/>
          <w:bCs/>
          <w:color w:val="000000"/>
          <w:spacing w:val="-6"/>
          <w:sz w:val="32"/>
          <w:szCs w:val="32"/>
        </w:rPr>
      </w:pPr>
      <w:bookmarkStart w:id="45" w:name="_Toc1273597805_WPSOffice_Level2"/>
      <w:r>
        <w:rPr>
          <w:rFonts w:hint="eastAsia" w:ascii="楷体" w:hAnsi="楷体" w:eastAsia="楷体" w:cs="华文仿宋"/>
          <w:b/>
          <w:bCs/>
          <w:color w:val="000000"/>
          <w:spacing w:val="-6"/>
          <w:sz w:val="32"/>
          <w:szCs w:val="32"/>
          <w:lang w:eastAsia="zh-CN"/>
        </w:rPr>
        <w:t>（一）</w:t>
      </w:r>
      <w:r>
        <w:rPr>
          <w:rFonts w:hint="eastAsia" w:ascii="楷体" w:hAnsi="楷体" w:eastAsia="楷体" w:cs="华文仿宋"/>
          <w:b/>
          <w:bCs/>
          <w:color w:val="000000"/>
          <w:spacing w:val="-6"/>
          <w:sz w:val="32"/>
          <w:szCs w:val="32"/>
        </w:rPr>
        <w:t>有关单位</w:t>
      </w:r>
      <w:bookmarkEnd w:id="45"/>
    </w:p>
    <w:p w14:paraId="45883823">
      <w:pPr>
        <w:spacing w:after="0" w:line="58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宁波劳务公司，</w:t>
      </w:r>
      <w:r>
        <w:rPr>
          <w:rFonts w:hint="eastAsia" w:ascii="仿宋_GB2312" w:hAnsi="仿宋_GB2312" w:eastAsia="仿宋_GB2312" w:cs="仿宋_GB2312"/>
          <w:sz w:val="32"/>
          <w:szCs w:val="32"/>
        </w:rPr>
        <w:t>不具备特种设备使用管理能力，未按要求配备安全管理人员；未有效监督、教育从业人员按照使用规则佩戴、使用符合国家标准或者行业标准的劳动防护用品</w:t>
      </w:r>
      <w:r>
        <w:rPr>
          <w:rFonts w:hint="eastAsia" w:ascii="仿宋_GB2312" w:hAnsi="仿宋_GB2312" w:eastAsia="仿宋_GB2312" w:cs="仿宋_GB2312"/>
          <w:sz w:val="32"/>
          <w:szCs w:val="32"/>
          <w:vertAlign w:val="superscript"/>
        </w:rPr>
        <w:footnoteReference w:id="1"/>
      </w:r>
      <w:r>
        <w:rPr>
          <w:rFonts w:hint="eastAsia" w:ascii="仿宋_GB2312" w:hAnsi="仿宋_GB2312" w:eastAsia="仿宋_GB2312" w:cs="仿宋_GB2312"/>
          <w:sz w:val="32"/>
          <w:szCs w:val="32"/>
        </w:rPr>
        <w:t>；在事故起重机出现异响故障后，现场作业人员没有受过相应的教育和培训包括学习特种设备使用方面的相关课程，不熟悉该起重机及其危险性，不熟悉起重机械维护的有关程序和安全防护措施，违章作业</w:t>
      </w:r>
      <w:r>
        <w:rPr>
          <w:rFonts w:hint="eastAsia" w:ascii="仿宋_GB2312" w:hAnsi="仿宋_GB2312" w:eastAsia="仿宋_GB2312" w:cs="仿宋_GB2312"/>
          <w:sz w:val="32"/>
          <w:szCs w:val="32"/>
          <w:vertAlign w:val="superscript"/>
        </w:rPr>
        <w:footnoteReference w:id="2"/>
      </w:r>
      <w:r>
        <w:rPr>
          <w:rFonts w:hint="eastAsia" w:ascii="仿宋_GB2312" w:hAnsi="仿宋_GB2312" w:eastAsia="仿宋_GB2312" w:cs="仿宋_GB2312"/>
          <w:sz w:val="32"/>
          <w:szCs w:val="32"/>
        </w:rPr>
        <w:t>。</w:t>
      </w:r>
    </w:p>
    <w:p w14:paraId="1C3ABE90">
      <w:pPr>
        <w:spacing w:after="0" w:line="58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2.百盛租赁公司，</w:t>
      </w:r>
      <w:r>
        <w:rPr>
          <w:rFonts w:hint="eastAsia" w:ascii="仿宋_GB2312" w:hAnsi="仿宋_GB2312" w:eastAsia="仿宋_GB2312" w:cs="仿宋_GB2312"/>
          <w:sz w:val="32"/>
          <w:szCs w:val="32"/>
        </w:rPr>
        <w:t>未建立特种设备岗位责任、隐患治理、应急救援等安全管理制度，未制定安全操作规程</w:t>
      </w:r>
      <w:r>
        <w:rPr>
          <w:rFonts w:hint="eastAsia" w:ascii="仿宋_GB2312" w:hAnsi="仿宋_GB2312" w:eastAsia="仿宋_GB2312" w:cs="仿宋_GB2312"/>
          <w:sz w:val="32"/>
          <w:szCs w:val="32"/>
          <w:vertAlign w:val="superscript"/>
        </w:rPr>
        <w:footnoteReference w:id="3"/>
      </w:r>
      <w:r>
        <w:rPr>
          <w:rFonts w:hint="eastAsia" w:ascii="仿宋_GB2312" w:hAnsi="仿宋_GB2312" w:eastAsia="仿宋_GB2312" w:cs="仿宋_GB2312"/>
          <w:sz w:val="32"/>
          <w:szCs w:val="32"/>
        </w:rPr>
        <w:t>；未建立安全技术档案</w:t>
      </w:r>
      <w:r>
        <w:rPr>
          <w:rFonts w:hint="eastAsia" w:ascii="仿宋_GB2312" w:hAnsi="仿宋_GB2312" w:eastAsia="仿宋_GB2312" w:cs="仿宋_GB2312"/>
          <w:sz w:val="32"/>
          <w:szCs w:val="32"/>
          <w:vertAlign w:val="superscript"/>
        </w:rPr>
        <w:footnoteReference w:id="4"/>
      </w:r>
      <w:r>
        <w:rPr>
          <w:rFonts w:hint="eastAsia" w:ascii="仿宋_GB2312" w:hAnsi="仿宋_GB2312" w:eastAsia="仿宋_GB2312" w:cs="仿宋_GB2312"/>
          <w:sz w:val="32"/>
          <w:szCs w:val="32"/>
        </w:rPr>
        <w:t>；未配备特种设备安全管理人员，未对作业人员开展有效的安全教育</w:t>
      </w:r>
      <w:r>
        <w:rPr>
          <w:rFonts w:hint="eastAsia" w:ascii="仿宋_GB2312" w:hAnsi="仿宋_GB2312" w:eastAsia="仿宋_GB2312" w:cs="仿宋_GB2312"/>
          <w:sz w:val="32"/>
          <w:szCs w:val="32"/>
          <w:vertAlign w:val="superscript"/>
        </w:rPr>
        <w:footnoteReference w:id="5"/>
      </w:r>
      <w:r>
        <w:rPr>
          <w:rFonts w:hint="eastAsia" w:ascii="仿宋_GB2312" w:hAnsi="仿宋_GB2312" w:eastAsia="仿宋_GB2312" w:cs="仿宋_GB2312"/>
          <w:sz w:val="32"/>
          <w:szCs w:val="32"/>
        </w:rPr>
        <w:t>。</w:t>
      </w:r>
    </w:p>
    <w:p w14:paraId="04CA3419">
      <w:pPr>
        <w:spacing w:after="0" w:line="58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3.瓯越交建公司，</w:t>
      </w:r>
      <w:r>
        <w:rPr>
          <w:rFonts w:hint="eastAsia" w:ascii="仿宋_GB2312" w:hAnsi="仿宋_GB2312" w:eastAsia="仿宋_GB2312" w:cs="仿宋_GB2312"/>
          <w:sz w:val="32"/>
          <w:szCs w:val="32"/>
        </w:rPr>
        <w:t>主要负责人未取得安全生产考核合格证书，预制场预制构件施工结束后，未派人继续对预制场进行现场安全管理，导致现场安全管理缺位；公司内部员工教育培训不到位，三级安全教育培训流于形式；隐患排查治理不到位。</w:t>
      </w:r>
    </w:p>
    <w:p w14:paraId="0AED33BA">
      <w:pPr>
        <w:spacing w:after="0" w:line="520" w:lineRule="exact"/>
        <w:ind w:firstLine="619" w:firstLineChars="200"/>
        <w:jc w:val="both"/>
        <w:outlineLvl w:val="1"/>
        <w:rPr>
          <w:rFonts w:hint="eastAsia" w:ascii="楷体" w:hAnsi="楷体" w:eastAsia="楷体" w:cs="华文仿宋"/>
          <w:b/>
          <w:bCs/>
          <w:color w:val="000000"/>
          <w:spacing w:val="-6"/>
          <w:sz w:val="32"/>
          <w:szCs w:val="32"/>
          <w:lang w:eastAsia="zh-CN"/>
        </w:rPr>
      </w:pPr>
      <w:bookmarkStart w:id="46" w:name="_Toc634671068_WPSOffice_Level2"/>
      <w:r>
        <w:rPr>
          <w:rFonts w:hint="eastAsia" w:ascii="楷体" w:hAnsi="楷体" w:eastAsia="楷体" w:cs="华文仿宋"/>
          <w:b/>
          <w:bCs/>
          <w:color w:val="000000"/>
          <w:spacing w:val="-6"/>
          <w:sz w:val="32"/>
          <w:szCs w:val="32"/>
          <w:lang w:eastAsia="zh-CN"/>
        </w:rPr>
        <w:t>（二）有关监管部门</w:t>
      </w:r>
      <w:bookmarkEnd w:id="46"/>
    </w:p>
    <w:p w14:paraId="0476BAA6">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龙湾区市场监督管理局基层所对起重设备的安全监管存在盲区。作为市场监督管理部门派出机构，永中街道办事处市场监管所未科学合理组织开展对起重设备安全生产监督检查工作，对起重设备使用监管存在盲区，安全隐患排查不深入、针对性不强，对事故单位门式起重机作业存有重大安全隐患监管不到位。</w:t>
      </w:r>
    </w:p>
    <w:p w14:paraId="51A23652">
      <w:pPr>
        <w:spacing w:after="0" w:line="520" w:lineRule="exact"/>
        <w:ind w:firstLine="619" w:firstLineChars="200"/>
        <w:jc w:val="both"/>
        <w:outlineLvl w:val="1"/>
        <w:rPr>
          <w:rFonts w:hint="eastAsia" w:ascii="楷体" w:hAnsi="楷体" w:eastAsia="楷体" w:cs="华文仿宋"/>
          <w:b/>
          <w:bCs/>
          <w:color w:val="000000"/>
          <w:spacing w:val="-6"/>
          <w:sz w:val="32"/>
          <w:szCs w:val="32"/>
          <w:lang w:eastAsia="zh-CN"/>
        </w:rPr>
      </w:pPr>
      <w:bookmarkStart w:id="47" w:name="_Toc1478414198_WPSOffice_Level2"/>
      <w:r>
        <w:rPr>
          <w:rFonts w:hint="eastAsia" w:ascii="楷体" w:hAnsi="楷体" w:eastAsia="楷体" w:cs="华文仿宋"/>
          <w:b/>
          <w:bCs/>
          <w:color w:val="000000"/>
          <w:spacing w:val="-6"/>
          <w:sz w:val="32"/>
          <w:szCs w:val="32"/>
          <w:lang w:eastAsia="zh-CN"/>
        </w:rPr>
        <w:t>（三）地方政府</w:t>
      </w:r>
      <w:bookmarkEnd w:id="47"/>
    </w:p>
    <w:p w14:paraId="29436BA1">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龙湾区人民政府对特种设备安全工作的领导不力，未有效督促市场监管部门依法履行特种设备监督管理职责。</w:t>
      </w:r>
    </w:p>
    <w:p w14:paraId="5E2413DB">
      <w:pPr>
        <w:pStyle w:val="2"/>
        <w:spacing w:line="560" w:lineRule="exact"/>
        <w:ind w:left="0" w:firstLine="616" w:firstLineChars="200"/>
        <w:jc w:val="both"/>
        <w:outlineLvl w:val="0"/>
        <w:rPr>
          <w:rFonts w:hint="eastAsia" w:ascii="黑体" w:hAnsi="黑体" w:eastAsia="黑体" w:cs="黑体"/>
          <w:b w:val="0"/>
          <w:bCs w:val="0"/>
          <w:color w:val="000000"/>
          <w:spacing w:val="-6"/>
          <w:sz w:val="32"/>
          <w:szCs w:val="32"/>
        </w:rPr>
      </w:pPr>
      <w:bookmarkStart w:id="48" w:name="_Toc383243081_WPSOffice_Level1"/>
      <w:r>
        <w:rPr>
          <w:rFonts w:hint="eastAsia" w:ascii="黑体" w:hAnsi="黑体" w:eastAsia="黑体" w:cs="黑体"/>
          <w:b w:val="0"/>
          <w:bCs w:val="0"/>
          <w:color w:val="000000"/>
          <w:spacing w:val="-6"/>
          <w:sz w:val="32"/>
          <w:szCs w:val="32"/>
        </w:rPr>
        <w:t>五、对事故有关责任人员及责任单位的处理建议</w:t>
      </w:r>
      <w:bookmarkEnd w:id="48"/>
    </w:p>
    <w:p w14:paraId="55508795">
      <w:pPr>
        <w:pStyle w:val="2"/>
        <w:spacing w:line="560" w:lineRule="exact"/>
        <w:ind w:left="0" w:firstLine="619" w:firstLineChars="200"/>
        <w:jc w:val="both"/>
        <w:outlineLvl w:val="1"/>
        <w:rPr>
          <w:rFonts w:hint="eastAsia" w:ascii="仿宋_GB2312" w:hAnsi="仿宋_GB2312" w:eastAsia="仿宋_GB2312" w:cs="仿宋_GB2312"/>
          <w:color w:val="000000"/>
          <w:spacing w:val="-6"/>
          <w:sz w:val="32"/>
          <w:szCs w:val="32"/>
        </w:rPr>
      </w:pPr>
      <w:bookmarkStart w:id="49" w:name="_Toc1268139981_WPSOffice_Level2"/>
      <w:r>
        <w:rPr>
          <w:rFonts w:hint="eastAsia" w:ascii="仿宋_GB2312" w:hAnsi="仿宋_GB2312" w:eastAsia="仿宋_GB2312" w:cs="仿宋_GB2312"/>
          <w:b/>
          <w:bCs/>
          <w:color w:val="000000"/>
          <w:spacing w:val="-6"/>
          <w:sz w:val="32"/>
          <w:szCs w:val="32"/>
        </w:rPr>
        <w:t>（一）因在事故中死亡不予追究责任人员</w:t>
      </w:r>
      <w:bookmarkEnd w:id="49"/>
    </w:p>
    <w:p w14:paraId="1E50297D">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，系宁波汇路建劳务有限公司派遣双岙预制场起重班组组长，未按照安全规定违规作业，对该起事故发生负有责任，鉴于其已经死亡不在追究其刑事责任。</w:t>
      </w:r>
    </w:p>
    <w:p w14:paraId="028F482B">
      <w:pPr>
        <w:pStyle w:val="2"/>
        <w:spacing w:line="560" w:lineRule="exact"/>
        <w:ind w:left="0" w:firstLine="619" w:firstLineChars="200"/>
        <w:jc w:val="both"/>
        <w:outlineLvl w:val="1"/>
        <w:rPr>
          <w:rFonts w:hint="eastAsia" w:ascii="仿宋_GB2312" w:hAnsi="仿宋_GB2312" w:eastAsia="仿宋_GB2312" w:cs="仿宋_GB2312"/>
          <w:b/>
          <w:bCs/>
          <w:color w:val="000000"/>
          <w:spacing w:val="-6"/>
          <w:sz w:val="32"/>
          <w:szCs w:val="32"/>
        </w:rPr>
      </w:pPr>
      <w:bookmarkStart w:id="50" w:name="_Toc610700763_WPSOffice_Level2"/>
      <w:r>
        <w:rPr>
          <w:rFonts w:hint="eastAsia" w:ascii="仿宋_GB2312" w:hAnsi="仿宋_GB2312" w:eastAsia="仿宋_GB2312" w:cs="仿宋_GB2312"/>
          <w:b/>
          <w:bCs/>
          <w:color w:val="000000"/>
          <w:spacing w:val="-6"/>
          <w:sz w:val="32"/>
          <w:szCs w:val="32"/>
        </w:rPr>
        <w:t>（二）建议移送司法机关处理的人员</w:t>
      </w:r>
      <w:bookmarkEnd w:id="50"/>
    </w:p>
    <w:p w14:paraId="02724F12">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，系宁波汇众路建劳务有限公司董事长，法人代表，未按施工劳务合同约定，配备安全管理员对作业现场进行安全管理，对该起事故发生负有责任，建议司法机关对其依法追究刑事责任。</w:t>
      </w:r>
    </w:p>
    <w:p w14:paraId="0D0B33CA">
      <w:pPr>
        <w:pStyle w:val="2"/>
        <w:spacing w:line="560" w:lineRule="exact"/>
        <w:ind w:left="0" w:firstLine="619" w:firstLineChars="200"/>
        <w:jc w:val="both"/>
        <w:outlineLvl w:val="1"/>
        <w:rPr>
          <w:rFonts w:hint="eastAsia" w:ascii="仿宋_GB2312" w:hAnsi="仿宋_GB2312" w:eastAsia="仿宋_GB2312" w:cs="仿宋_GB2312"/>
          <w:b/>
          <w:bCs/>
          <w:color w:val="000000"/>
          <w:spacing w:val="-6"/>
          <w:sz w:val="32"/>
          <w:szCs w:val="32"/>
        </w:rPr>
      </w:pPr>
      <w:bookmarkStart w:id="51" w:name="_Toc178859599_WPSOffice_Level2"/>
      <w:r>
        <w:rPr>
          <w:rFonts w:hint="eastAsia" w:ascii="仿宋_GB2312" w:hAnsi="仿宋_GB2312" w:eastAsia="仿宋_GB2312" w:cs="仿宋_GB2312"/>
          <w:b/>
          <w:bCs/>
          <w:color w:val="000000"/>
          <w:spacing w:val="-6"/>
          <w:sz w:val="32"/>
          <w:szCs w:val="32"/>
        </w:rPr>
        <w:t>（三）对有关公职人员的处理建议</w:t>
      </w:r>
      <w:bookmarkEnd w:id="51"/>
    </w:p>
    <w:p w14:paraId="38E16877">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1986年10月出生，中共党员，2021年3月至今任龙湾区市场监督管理局执法一科科长（2021年10月至今下派永中市场监督管理所），分管特种设备管理工作。未科学合理开展辖区内特种设备安全生产监督检查工作，对事故的发生负有直接责任。建议给予政务警告处分。</w:t>
      </w:r>
    </w:p>
    <w:p w14:paraId="7D7CB356">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
        </w:rPr>
        <w:t>2</w:t>
      </w:r>
      <w:r>
        <w:rPr>
          <w:rFonts w:hint="eastAsia" w:ascii="仿宋_GB2312" w:hAnsi="仿宋_GB2312" w:eastAsia="仿宋_GB2312" w:cs="仿宋_GB2312"/>
          <w:sz w:val="32"/>
          <w:szCs w:val="32"/>
        </w:rPr>
        <w:t>.潘</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，男，19</w:t>
      </w:r>
      <w:r>
        <w:rPr>
          <w:rFonts w:hint="eastAsia" w:ascii="仿宋_GB2312" w:hAnsi="仿宋_GB2312" w:eastAsia="仿宋_GB2312" w:cs="仿宋_GB2312"/>
          <w:sz w:val="32"/>
          <w:szCs w:val="32"/>
          <w:lang w:val="en-US" w:eastAsia="zh-CN"/>
        </w:rPr>
        <w:t>85</w:t>
      </w:r>
      <w:r>
        <w:rPr>
          <w:rFonts w:hint="eastAsia" w:ascii="仿宋_GB2312" w:hAnsi="仿宋_GB2312" w:eastAsia="仿宋_GB2312" w:cs="仿宋_GB2312"/>
          <w:sz w:val="32"/>
          <w:szCs w:val="32"/>
        </w:rPr>
        <w:t>年10月出生，群众，2019年6月至今任龙湾区市场监督管理局永中市场监督管理所事业编制工作人员,负责辖区内特种设备安全监督检查工作。未科学合理选取被监督检查单位，未及时发现事故单位门式起重机作业长期存在的重大安全隐患，对事故的发生负有直接责任。建议给予政务警告处分。</w:t>
      </w:r>
    </w:p>
    <w:p w14:paraId="5F6D4261">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
        </w:rPr>
        <w:t>3</w:t>
      </w:r>
      <w:r>
        <w:rPr>
          <w:rFonts w:hint="eastAsia" w:ascii="仿宋_GB2312" w:hAnsi="仿宋_GB2312" w:eastAsia="仿宋_GB2312" w:cs="仿宋_GB2312"/>
          <w:sz w:val="32"/>
          <w:szCs w:val="32"/>
        </w:rPr>
        <w:t>.郭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男，1976年5月出生，中共党员，2022年2月至今任瓯越公司党支部书记、董事长。作为国有参股公司安全生产第一责任人，未能正确履行特种设备安全管理职责，对事故发生地双岙预制场安全生产场所管理不到位，对事故发生负有主要领导责任。建议给予政务警告处分。</w:t>
      </w:r>
    </w:p>
    <w:p w14:paraId="31A597E3">
      <w:pPr>
        <w:pStyle w:val="2"/>
        <w:spacing w:line="560" w:lineRule="exact"/>
        <w:ind w:left="0" w:firstLine="619" w:firstLineChars="200"/>
        <w:jc w:val="both"/>
        <w:outlineLvl w:val="1"/>
        <w:rPr>
          <w:rFonts w:hint="eastAsia" w:ascii="仿宋_GB2312" w:hAnsi="仿宋_GB2312" w:eastAsia="仿宋_GB2312" w:cs="仿宋_GB2312"/>
          <w:b/>
          <w:bCs/>
          <w:color w:val="000000"/>
          <w:spacing w:val="-6"/>
          <w:sz w:val="32"/>
          <w:szCs w:val="32"/>
        </w:rPr>
      </w:pPr>
      <w:bookmarkStart w:id="52" w:name="_Toc580912768_WPSOffice_Level2"/>
      <w:r>
        <w:rPr>
          <w:rFonts w:hint="eastAsia" w:ascii="仿宋_GB2312" w:hAnsi="仿宋_GB2312" w:eastAsia="仿宋_GB2312" w:cs="仿宋_GB2312"/>
          <w:b/>
          <w:bCs/>
          <w:color w:val="000000"/>
          <w:spacing w:val="-6"/>
          <w:sz w:val="32"/>
          <w:szCs w:val="32"/>
        </w:rPr>
        <w:t>（四）对事故有关责任人员和责任单位的行政处罚建议</w:t>
      </w:r>
      <w:bookmarkEnd w:id="52"/>
    </w:p>
    <w:p w14:paraId="0E60EF58">
      <w:pPr>
        <w:spacing w:after="0" w:line="58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1.宁波市汇众路建劳务有限公司，</w:t>
      </w:r>
      <w:r>
        <w:rPr>
          <w:rFonts w:hint="eastAsia" w:ascii="仿宋_GB2312" w:hAnsi="仿宋_GB2312" w:eastAsia="仿宋_GB2312" w:cs="仿宋_GB2312"/>
          <w:sz w:val="32"/>
          <w:szCs w:val="32"/>
        </w:rPr>
        <w:t>对事故发生负有责任，建议温州市龙湾区应急管理局依照《中华人民共和国安全生产法》第一百一十四条第一款第一项对宁波市汇众路建劳务有限公司予以行政处罚。</w:t>
      </w:r>
    </w:p>
    <w:p w14:paraId="39EEE4D6">
      <w:pPr>
        <w:spacing w:after="0" w:line="58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2.杭州百盛机械设备租赁有限公司，</w:t>
      </w:r>
      <w:r>
        <w:rPr>
          <w:rFonts w:hint="eastAsia" w:ascii="仿宋_GB2312" w:hAnsi="仿宋_GB2312" w:eastAsia="仿宋_GB2312" w:cs="仿宋_GB2312"/>
          <w:sz w:val="32"/>
          <w:szCs w:val="32"/>
        </w:rPr>
        <w:t>对事故发生负有责任，建议温州市龙湾区应急管理局依照《中华人民共和国安全生产法》第一百一十四条第一款第一项对杭州百盛机械设备租赁有限公司予以行政处罚。杭州百盛机械设备租赁有限公司主要负责人葛建江对事故发生负有责任，建议温州市龙湾区应急管理局依照《中华人民共和国安全生产法》第九十五条第一款对葛建江予以行政处罚。</w:t>
      </w:r>
    </w:p>
    <w:p w14:paraId="79306A7B">
      <w:pPr>
        <w:spacing w:after="0" w:line="58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3.浙江瓯越交建科技股份有限公司对事故发生负有责任</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建议温州市龙湾区应急管理局依照《中华人民共和国安全生产法》第一百一十四条第一款第一项对浙江瓯越交建科技股份有限公司予以行政处罚。</w:t>
      </w:r>
    </w:p>
    <w:p w14:paraId="603656E7">
      <w:pPr>
        <w:pStyle w:val="2"/>
        <w:spacing w:line="560" w:lineRule="exact"/>
        <w:ind w:left="0" w:firstLine="619" w:firstLineChars="200"/>
        <w:jc w:val="both"/>
        <w:outlineLvl w:val="1"/>
        <w:rPr>
          <w:rFonts w:hint="eastAsia" w:ascii="楷体" w:hAnsi="楷体" w:eastAsia="楷体" w:cs="华文仿宋"/>
          <w:b/>
          <w:bCs/>
          <w:color w:val="000000"/>
          <w:spacing w:val="-6"/>
          <w:sz w:val="32"/>
          <w:szCs w:val="32"/>
        </w:rPr>
      </w:pPr>
      <w:bookmarkStart w:id="53" w:name="_Toc649432080_WPSOffice_Level2"/>
      <w:r>
        <w:rPr>
          <w:rFonts w:hint="eastAsia" w:ascii="楷体" w:hAnsi="楷体" w:eastAsia="楷体" w:cs="华文仿宋"/>
          <w:b/>
          <w:bCs/>
          <w:color w:val="000000"/>
          <w:spacing w:val="-6"/>
          <w:sz w:val="32"/>
          <w:szCs w:val="32"/>
        </w:rPr>
        <w:t>（五）其他处理建议</w:t>
      </w:r>
      <w:bookmarkEnd w:id="53"/>
    </w:p>
    <w:p w14:paraId="058599A7">
      <w:pPr>
        <w:pStyle w:val="2"/>
        <w:spacing w:line="560" w:lineRule="exact"/>
        <w:ind w:left="0" w:firstLine="640" w:firstLineChars="200"/>
        <w:jc w:val="both"/>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1.关于龙湾区市场监督管理局履行特种设备安全监管职责不到位的问题，建议责令龙湾区市场监督管理局向龙湾区人民政府作出深刻检查。</w:t>
      </w:r>
    </w:p>
    <w:p w14:paraId="6D66EC24">
      <w:pPr>
        <w:spacing w:after="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2.关于龙湾区人民政府对特种设备安全工作领导不力的问题，建议责令龙湾区人民政府向温州市人民政府作出深刻检查。</w:t>
      </w:r>
    </w:p>
    <w:p w14:paraId="6E1FDDCC">
      <w:pPr>
        <w:pStyle w:val="2"/>
        <w:spacing w:line="560" w:lineRule="exact"/>
        <w:ind w:left="0" w:firstLine="616" w:firstLineChars="200"/>
        <w:jc w:val="both"/>
        <w:outlineLvl w:val="0"/>
        <w:rPr>
          <w:rFonts w:ascii="黑体" w:hAnsi="黑体" w:eastAsia="黑体" w:cs="华文仿宋"/>
          <w:b w:val="0"/>
          <w:bCs w:val="0"/>
          <w:color w:val="000000"/>
          <w:spacing w:val="-6"/>
          <w:sz w:val="32"/>
          <w:szCs w:val="32"/>
        </w:rPr>
      </w:pPr>
      <w:bookmarkStart w:id="54" w:name="_Toc1277998881_WPSOffice_Level1"/>
      <w:r>
        <w:rPr>
          <w:rFonts w:hint="eastAsia" w:ascii="黑体" w:hAnsi="黑体" w:eastAsia="黑体" w:cs="华文仿宋"/>
          <w:b w:val="0"/>
          <w:bCs w:val="0"/>
          <w:color w:val="000000"/>
          <w:spacing w:val="-6"/>
          <w:sz w:val="32"/>
          <w:szCs w:val="32"/>
        </w:rPr>
        <w:t>六、事故防范和整改措施</w:t>
      </w:r>
      <w:bookmarkEnd w:id="54"/>
    </w:p>
    <w:p w14:paraId="0C084603">
      <w:pPr>
        <w:pStyle w:val="2"/>
        <w:spacing w:line="560" w:lineRule="exact"/>
        <w:ind w:left="0" w:firstLine="640" w:firstLineChars="200"/>
        <w:jc w:val="both"/>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针对事故暴露的问题，为深刻汲取事故教训，举一反三，有效防范和坚决遏制类似事故发生，提出以下建议措施。 </w:t>
      </w:r>
    </w:p>
    <w:p w14:paraId="49A64E4F">
      <w:pPr>
        <w:pStyle w:val="2"/>
        <w:numPr>
          <w:ilvl w:val="0"/>
          <w:numId w:val="0"/>
        </w:numPr>
        <w:spacing w:line="560" w:lineRule="exact"/>
        <w:ind w:leftChars="200"/>
        <w:jc w:val="both"/>
        <w:outlineLvl w:val="1"/>
        <w:rPr>
          <w:rFonts w:hint="eastAsia" w:ascii="华文楷体" w:hAnsi="华文楷体" w:eastAsia="华文楷体" w:cs="华文楷体"/>
          <w:b/>
          <w:bCs/>
          <w:color w:val="000000"/>
          <w:spacing w:val="-6"/>
          <w:sz w:val="32"/>
          <w:szCs w:val="32"/>
        </w:rPr>
      </w:pPr>
      <w:bookmarkStart w:id="55" w:name="_Toc2146658289_WPSOffice_Level2"/>
      <w:r>
        <w:rPr>
          <w:rFonts w:hint="eastAsia" w:ascii="华文楷体" w:hAnsi="华文楷体" w:eastAsia="华文楷体" w:cs="华文楷体"/>
          <w:b/>
          <w:bCs/>
          <w:color w:val="000000"/>
          <w:spacing w:val="-6"/>
          <w:sz w:val="32"/>
          <w:szCs w:val="32"/>
          <w:lang w:eastAsia="zh-CN"/>
        </w:rPr>
        <w:t>（一）</w:t>
      </w:r>
      <w:r>
        <w:rPr>
          <w:rFonts w:hint="eastAsia" w:ascii="华文楷体" w:hAnsi="华文楷体" w:eastAsia="华文楷体" w:cs="华文楷体"/>
          <w:b/>
          <w:bCs/>
          <w:color w:val="000000"/>
          <w:spacing w:val="-6"/>
          <w:sz w:val="32"/>
          <w:szCs w:val="32"/>
        </w:rPr>
        <w:t>牢固树立安全发展理念</w:t>
      </w:r>
      <w:bookmarkEnd w:id="55"/>
    </w:p>
    <w:p w14:paraId="7C3C1A27">
      <w:pPr>
        <w:pStyle w:val="2"/>
        <w:spacing w:line="560" w:lineRule="exact"/>
        <w:ind w:left="0" w:firstLine="643" w:firstLineChars="200"/>
        <w:jc w:val="both"/>
        <w:outlineLvl w:val="1"/>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党委政府要强化红线意识。</w:t>
      </w:r>
      <w:r>
        <w:rPr>
          <w:rFonts w:hint="eastAsia" w:ascii="仿宋_GB2312" w:hAnsi="仿宋_GB2312" w:eastAsia="仿宋_GB2312" w:cs="仿宋_GB2312"/>
          <w:sz w:val="32"/>
          <w:szCs w:val="32"/>
        </w:rPr>
        <w:t>各级党委政府特别是龙湾区要深刻吸取事故惨痛教训，始终坚持人民至上、生命至上，牢固树立安全发展理念；始终坚守“发展决不能以牺牲安全为代价”这条红线，坚决落实安全生产责任制，层层压实党政领导责任，真正做到“党政同责、一岗双责、齐抓共管、失职追责”</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rPr>
        <w:t>监管部门要强化监管意识。</w:t>
      </w:r>
      <w:r>
        <w:rPr>
          <w:rFonts w:hint="eastAsia" w:ascii="仿宋_GB2312" w:hAnsi="仿宋_GB2312" w:eastAsia="仿宋_GB2312" w:cs="仿宋_GB2312"/>
          <w:sz w:val="32"/>
          <w:szCs w:val="32"/>
        </w:rPr>
        <w:t>按照“管行业必须管安全、管业务必须管安全、管生产经营必须管安全”的原则，拧紧行业部门安全生产责任链条，特别市场监管、国资等部门要强化对特种设备、国有企业的监管，紧盯薄弱环节，分析研判安全风险，采取有效防控措施，严厉打击违法违规行为，坚决做到重大风险隐患一抓到底、彻底解决。</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b/>
          <w:bCs/>
          <w:sz w:val="32"/>
          <w:szCs w:val="32"/>
        </w:rPr>
        <w:t>国有企业要强化责任意识。</w:t>
      </w:r>
      <w:r>
        <w:rPr>
          <w:rFonts w:hint="eastAsia" w:ascii="仿宋_GB2312" w:hAnsi="仿宋_GB2312" w:eastAsia="仿宋_GB2312" w:cs="仿宋_GB2312"/>
          <w:sz w:val="32"/>
          <w:szCs w:val="32"/>
        </w:rPr>
        <w:t>要切实把安全作为发展的前提、基础和保障；统筹发展和安全，坚决落实安全生产责任制，把安全责任落实到岗位、落实到人头；紧盯重点行业、重点部位、重点领域，持续开展安全生产隐患排查相关活动，坚决遏制安全事故的发生；统筹安全和发展，不断提升各级领导干部防范化解各类风险的能力，确保安全生产形势持续稳定。</w:t>
      </w:r>
    </w:p>
    <w:p w14:paraId="5E19FC0B">
      <w:pPr>
        <w:pStyle w:val="2"/>
        <w:numPr>
          <w:ilvl w:val="0"/>
          <w:numId w:val="0"/>
        </w:numPr>
        <w:spacing w:line="560" w:lineRule="exact"/>
        <w:ind w:leftChars="200"/>
        <w:jc w:val="both"/>
        <w:outlineLvl w:val="1"/>
        <w:rPr>
          <w:rFonts w:hint="eastAsia" w:ascii="华文楷体" w:hAnsi="华文楷体" w:eastAsia="华文楷体" w:cs="华文楷体"/>
          <w:b/>
          <w:bCs/>
          <w:color w:val="000000"/>
          <w:spacing w:val="-6"/>
          <w:sz w:val="32"/>
          <w:szCs w:val="32"/>
        </w:rPr>
      </w:pPr>
      <w:bookmarkStart w:id="56" w:name="_Toc1825543518_WPSOffice_Level2"/>
      <w:r>
        <w:rPr>
          <w:rFonts w:hint="eastAsia" w:ascii="华文楷体" w:hAnsi="华文楷体" w:eastAsia="华文楷体" w:cs="华文楷体"/>
          <w:b/>
          <w:bCs/>
          <w:color w:val="000000"/>
          <w:spacing w:val="-6"/>
          <w:sz w:val="32"/>
          <w:szCs w:val="32"/>
          <w:lang w:eastAsia="zh-CN"/>
        </w:rPr>
        <w:t>（二）</w:t>
      </w:r>
      <w:r>
        <w:rPr>
          <w:rFonts w:hint="eastAsia" w:ascii="华文楷体" w:hAnsi="华文楷体" w:eastAsia="华文楷体" w:cs="华文楷体"/>
          <w:b/>
          <w:bCs/>
          <w:color w:val="000000"/>
          <w:spacing w:val="-6"/>
          <w:sz w:val="32"/>
          <w:szCs w:val="32"/>
        </w:rPr>
        <w:t>做好特种设备安全监管</w:t>
      </w:r>
      <w:bookmarkEnd w:id="56"/>
    </w:p>
    <w:p w14:paraId="7A99FF09">
      <w:pPr>
        <w:pStyle w:val="2"/>
        <w:spacing w:line="560" w:lineRule="exact"/>
        <w:ind w:left="0" w:firstLine="640" w:firstLineChars="200"/>
        <w:jc w:val="both"/>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根据全市的统一部署，立即启动为期两个月的安全隐患大排查大整治。</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要强化工作机制保障。</w:t>
      </w:r>
      <w:r>
        <w:rPr>
          <w:rFonts w:hint="eastAsia" w:ascii="仿宋_GB2312" w:hAnsi="仿宋_GB2312" w:eastAsia="仿宋_GB2312" w:cs="仿宋_GB2312"/>
          <w:sz w:val="32"/>
          <w:szCs w:val="32"/>
        </w:rPr>
        <w:t>强化组织领导，有效实施日调度、日研判、日通报机制，及时排查掌握特种设备领域存在的风险隐患和薄弱环节。</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要强化基础信息排查。</w:t>
      </w:r>
      <w:r>
        <w:rPr>
          <w:rFonts w:hint="eastAsia" w:ascii="仿宋_GB2312" w:hAnsi="仿宋_GB2312" w:eastAsia="仿宋_GB2312" w:cs="仿宋_GB2312"/>
          <w:sz w:val="32"/>
          <w:szCs w:val="32"/>
        </w:rPr>
        <w:t>持续做好特种设备赋码工作，提升在用设备与新增设备赋码率，实现特种设备安全信息全生命周期可查询可追溯。</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要强化监督检查。</w:t>
      </w:r>
      <w:r>
        <w:rPr>
          <w:rFonts w:hint="eastAsia" w:ascii="仿宋_GB2312" w:hAnsi="仿宋_GB2312" w:eastAsia="仿宋_GB2312" w:cs="仿宋_GB2312"/>
          <w:sz w:val="32"/>
          <w:szCs w:val="32"/>
        </w:rPr>
        <w:t>要以研判为高风险的使用单位为重点，调整提高全市特种设备年度监督检查计划比例，进一步压紧压实企业主体责任，督促企业开展安全风险自辨自控、隐患自查自治。</w:t>
      </w:r>
    </w:p>
    <w:p w14:paraId="22A89FC1">
      <w:pPr>
        <w:pStyle w:val="2"/>
        <w:numPr>
          <w:ilvl w:val="0"/>
          <w:numId w:val="0"/>
        </w:numPr>
        <w:spacing w:line="560" w:lineRule="exact"/>
        <w:ind w:leftChars="200"/>
        <w:jc w:val="both"/>
        <w:outlineLvl w:val="1"/>
        <w:rPr>
          <w:rFonts w:hint="eastAsia" w:ascii="华文楷体" w:hAnsi="华文楷体" w:eastAsia="华文楷体" w:cs="华文楷体"/>
          <w:b/>
          <w:bCs/>
          <w:color w:val="000000"/>
          <w:spacing w:val="-6"/>
          <w:sz w:val="32"/>
          <w:szCs w:val="32"/>
        </w:rPr>
      </w:pPr>
      <w:bookmarkStart w:id="57" w:name="_Toc1965674056_WPSOffice_Level2"/>
      <w:r>
        <w:rPr>
          <w:rFonts w:hint="eastAsia" w:ascii="华文楷体" w:hAnsi="华文楷体" w:eastAsia="华文楷体" w:cs="华文楷体"/>
          <w:b/>
          <w:bCs/>
          <w:color w:val="000000"/>
          <w:spacing w:val="-6"/>
          <w:sz w:val="32"/>
          <w:szCs w:val="32"/>
          <w:lang w:eastAsia="zh-CN"/>
        </w:rPr>
        <w:t>（三）</w:t>
      </w:r>
      <w:r>
        <w:rPr>
          <w:rFonts w:hint="eastAsia" w:ascii="华文楷体" w:hAnsi="华文楷体" w:eastAsia="华文楷体" w:cs="华文楷体"/>
          <w:b/>
          <w:bCs/>
          <w:color w:val="000000"/>
          <w:spacing w:val="-6"/>
          <w:sz w:val="32"/>
          <w:szCs w:val="32"/>
        </w:rPr>
        <w:t>强化企业主体责任落实</w:t>
      </w:r>
      <w:bookmarkEnd w:id="57"/>
    </w:p>
    <w:p w14:paraId="54AFF5E8">
      <w:pPr>
        <w:pStyle w:val="2"/>
        <w:spacing w:line="560" w:lineRule="exact"/>
        <w:ind w:left="0" w:firstLine="643" w:firstLineChars="200"/>
        <w:jc w:val="both"/>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一要</w:t>
      </w:r>
      <w:r>
        <w:rPr>
          <w:rFonts w:hint="eastAsia" w:ascii="仿宋_GB2312" w:hAnsi="仿宋_GB2312" w:eastAsia="仿宋_GB2312" w:cs="仿宋_GB2312"/>
          <w:b/>
          <w:bCs/>
          <w:sz w:val="32"/>
          <w:szCs w:val="32"/>
        </w:rPr>
        <w:t>进一步压实特种设备使用单位主体责任。</w:t>
      </w:r>
      <w:r>
        <w:rPr>
          <w:rFonts w:hint="eastAsia" w:ascii="仿宋_GB2312" w:hAnsi="仿宋_GB2312" w:eastAsia="仿宋_GB2312" w:cs="仿宋_GB2312"/>
          <w:sz w:val="32"/>
          <w:szCs w:val="32"/>
        </w:rPr>
        <w:t>特种设备出租（使用）单位要严格落实安全生产相关规定、严格执行特种设备相关法律、法规，要按照即将施行的《特种设备使用单位落实使用安全主体责任监督管理规定》（国家市场监督管理总局令第74号）要求，配备设备安全管理人员，建立安全管理机构，健全安全管理制度，形成符合要求的安全生产管理体系，进一步夯实安全生产基础。</w:t>
      </w:r>
      <w:r>
        <w:rPr>
          <w:rFonts w:hint="eastAsia" w:ascii="仿宋_GB2312" w:hAnsi="仿宋_GB2312" w:eastAsia="仿宋_GB2312" w:cs="仿宋_GB2312"/>
          <w:b/>
          <w:bCs/>
          <w:sz w:val="32"/>
          <w:szCs w:val="32"/>
          <w:lang w:eastAsia="zh-CN"/>
        </w:rPr>
        <w:t>二要</w:t>
      </w:r>
      <w:r>
        <w:rPr>
          <w:rFonts w:hint="eastAsia" w:ascii="仿宋_GB2312" w:hAnsi="仿宋_GB2312" w:eastAsia="仿宋_GB2312" w:cs="仿宋_GB2312"/>
          <w:b/>
          <w:bCs/>
          <w:sz w:val="32"/>
          <w:szCs w:val="32"/>
        </w:rPr>
        <w:t>严格落实风险管控责任。</w:t>
      </w:r>
      <w:r>
        <w:rPr>
          <w:rFonts w:hint="eastAsia" w:ascii="仿宋_GB2312" w:hAnsi="仿宋_GB2312" w:eastAsia="仿宋_GB2312" w:cs="仿宋_GB2312"/>
          <w:sz w:val="32"/>
          <w:szCs w:val="32"/>
        </w:rPr>
        <w:t>健全完善隐患排查治理体系，明确和细化隐患排查的事项、内容和频次，并将责任逐一分解落实，将责任落实到岗位，落实到个人，用制度管人、管事。对特种设备的使用、维保等重点环节定期排查巡查，发现隐患及时消除，实施闭环管理。</w:t>
      </w:r>
      <w:r>
        <w:rPr>
          <w:rFonts w:hint="eastAsia" w:ascii="仿宋_GB2312" w:hAnsi="仿宋_GB2312" w:eastAsia="仿宋_GB2312" w:cs="仿宋_GB2312"/>
          <w:b/>
          <w:bCs/>
          <w:sz w:val="32"/>
          <w:szCs w:val="32"/>
          <w:lang w:eastAsia="zh-CN"/>
        </w:rPr>
        <w:t>三要全面提升</w:t>
      </w:r>
      <w:r>
        <w:rPr>
          <w:rFonts w:hint="eastAsia" w:ascii="仿宋_GB2312" w:hAnsi="仿宋_GB2312" w:eastAsia="仿宋_GB2312" w:cs="仿宋_GB2312"/>
          <w:b/>
          <w:bCs/>
          <w:sz w:val="32"/>
          <w:szCs w:val="32"/>
        </w:rPr>
        <w:t>企业从业人员安全素养。</w:t>
      </w:r>
      <w:r>
        <w:rPr>
          <w:rFonts w:hint="eastAsia" w:ascii="仿宋_GB2312" w:hAnsi="仿宋_GB2312" w:eastAsia="仿宋_GB2312" w:cs="仿宋_GB2312"/>
          <w:sz w:val="32"/>
          <w:szCs w:val="32"/>
        </w:rPr>
        <w:t>要加强对人员的教育培训，组织开展从业人员和安全管理人员经常性安全教育培训，落实“三级”安全教育培训，重点针对施工人员流动性大的特点，强化安全技术和操作技能教育培训，注重岗前安全教育培训，做好安全交底，提高企业本质安全管理水平。</w:t>
      </w:r>
    </w:p>
    <w:p w14:paraId="5AC2E6EF">
      <w:pPr>
        <w:rPr>
          <w:vanish/>
        </w:rPr>
      </w:pPr>
    </w:p>
    <w:sectPr>
      <w:footerReference r:id="rId4" w:type="default"/>
      <w:pgSz w:w="11906" w:h="16838"/>
      <w:pgMar w:top="1440" w:right="1800" w:bottom="1440" w:left="1800" w:header="720" w:footer="72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BA7C69-74BF-4FDB-B593-B219DAAD4A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embedRegular r:id="rId2" w:fontKey="{A056E8E1-556E-48CF-A537-36FCFF1FA5EE}"/>
  </w:font>
  <w:font w:name="微软雅黑">
    <w:panose1 w:val="020B0503020204020204"/>
    <w:charset w:val="86"/>
    <w:family w:val="swiss"/>
    <w:pitch w:val="default"/>
    <w:sig w:usb0="80000287" w:usb1="2ACF3C50" w:usb2="00000016" w:usb3="00000000" w:csb0="0004001F" w:csb1="00000000"/>
    <w:embedRegular r:id="rId3" w:fontKey="{AC394D6D-0DE0-44E4-A1EE-5921F36D8C4E}"/>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4" w:fontKey="{2307EB7E-A047-46C8-AE8A-2ECCE9BDF14C}"/>
  </w:font>
  <w:font w:name="monospace">
    <w:altName w:val="Arial"/>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12" w:usb3="00000000" w:csb0="00040001" w:csb1="00000000"/>
    <w:embedRegular r:id="rId5" w:fontKey="{D9E8AADC-077E-4A97-BCA9-23A18615AC75}"/>
  </w:font>
  <w:font w:name="仿宋">
    <w:panose1 w:val="02010609060101010101"/>
    <w:charset w:val="86"/>
    <w:family w:val="modern"/>
    <w:pitch w:val="default"/>
    <w:sig w:usb0="800002BF" w:usb1="38CF7CFA" w:usb2="00000016" w:usb3="00000000" w:csb0="00040001" w:csb1="00000000"/>
    <w:embedRegular r:id="rId6" w:fontKey="{D87BE6C1-F7A6-4339-8A41-D3FF000B8B02}"/>
  </w:font>
  <w:font w:name="华文楷体">
    <w:altName w:val="宋体"/>
    <w:panose1 w:val="02010600040101010101"/>
    <w:charset w:val="86"/>
    <w:family w:val="auto"/>
    <w:pitch w:val="default"/>
    <w:sig w:usb0="00000000" w:usb1="00000000" w:usb2="00000000" w:usb3="00000000" w:csb0="0004009F" w:csb1="DFD70000"/>
    <w:embedRegular r:id="rId7" w:fontKey="{DB0FFE59-F296-45B6-82C7-C1A87D7E4DC0}"/>
  </w:font>
  <w:font w:name="楷体">
    <w:panose1 w:val="02010609060101010101"/>
    <w:charset w:val="86"/>
    <w:family w:val="modern"/>
    <w:pitch w:val="default"/>
    <w:sig w:usb0="800002BF" w:usb1="38CF7CFA" w:usb2="00000016" w:usb3="00000000" w:csb0="00040001" w:csb1="00000000"/>
    <w:embedRegular r:id="rId8" w:fontKey="{289A6831-E76B-4CF5-A9FD-EE7354284C0A}"/>
  </w:font>
  <w:font w:name="华文仿宋">
    <w:altName w:val="仿宋"/>
    <w:panose1 w:val="02010600040101010101"/>
    <w:charset w:val="86"/>
    <w:family w:val="auto"/>
    <w:pitch w:val="default"/>
    <w:sig w:usb0="00000000" w:usb1="00000000" w:usb2="00000000" w:usb3="00000000" w:csb0="0004009F" w:csb1="DFD70000"/>
    <w:embedRegular r:id="rId9" w:fontKey="{75F223A9-23B6-40DC-A64F-F8C19859210F}"/>
  </w:font>
  <w:font w:name="方正仿宋_GB2312">
    <w:altName w:val="仿宋"/>
    <w:panose1 w:val="02000000000000000000"/>
    <w:charset w:val="86"/>
    <w:family w:val="auto"/>
    <w:pitch w:val="default"/>
    <w:sig w:usb0="00000000" w:usb1="00000000" w:usb2="00000012" w:usb3="00000000" w:csb0="00040001" w:csb1="00000000"/>
    <w:embedRegular r:id="rId10" w:fontKey="{659C9A27-71CF-4031-86A3-0CC700F9C99A}"/>
  </w:font>
  <w:font w:name="方正仿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1A505">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F8B924">
                          <w:pPr>
                            <w:pStyle w:val="7"/>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FF8B924">
                    <w:pPr>
                      <w:pStyle w:val="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before="0" w:after="0"/>
      </w:pPr>
      <w:r>
        <w:separator/>
      </w:r>
    </w:p>
  </w:footnote>
  <w:footnote w:type="continuationSeparator" w:id="13">
    <w:p>
      <w:pPr>
        <w:spacing w:before="0" w:after="0"/>
      </w:pPr>
      <w:r>
        <w:continuationSeparator/>
      </w:r>
    </w:p>
  </w:footnote>
  <w:footnote w:id="0">
    <w:p w14:paraId="0895A13A">
      <w:pPr>
        <w:rPr>
          <w:rFonts w:hint="eastAsia" w:ascii="仿宋" w:hAnsi="仿宋" w:eastAsia="仿宋" w:cs="仿宋"/>
          <w:sz w:val="21"/>
          <w:szCs w:val="21"/>
        </w:rPr>
      </w:pPr>
      <w:r>
        <w:rPr>
          <w:rStyle w:val="25"/>
        </w:rPr>
        <w:footnoteRef/>
      </w:r>
      <w:r>
        <w:rPr>
          <w:rFonts w:hint="eastAsia" w:ascii="仿宋" w:hAnsi="仿宋" w:eastAsia="仿宋" w:cs="仿宋"/>
          <w:sz w:val="21"/>
          <w:szCs w:val="21"/>
        </w:rPr>
        <w:t>《特种设备使用管理规则》（TSG 08—2017）2.1.1：特种设备用于出租的，出租期间，出租单位是使用单位；法律另有规定或者当 事人合同约定的，从其规定或者约定。</w:t>
      </w:r>
    </w:p>
    <w:p w14:paraId="0BFA81CA">
      <w:pPr>
        <w:pStyle w:val="10"/>
      </w:pPr>
    </w:p>
  </w:footnote>
  <w:footnote w:id="1">
    <w:p w14:paraId="4CF33EE5">
      <w:pPr>
        <w:pStyle w:val="10"/>
        <w:spacing w:line="240" w:lineRule="exact"/>
        <w:rPr>
          <w:rStyle w:val="15"/>
          <w:rFonts w:hint="eastAsia" w:ascii="方正仿宋_GB2312" w:hAnsi="方正仿宋_GB2312" w:eastAsia="方正仿宋_GB2312" w:cs="方正仿宋_GB2312"/>
          <w:b w:val="0"/>
          <w:bCs w:val="0"/>
          <w:color w:val="333333"/>
          <w:sz w:val="18"/>
          <w:szCs w:val="18"/>
          <w:shd w:val="clear" w:color="auto" w:fill="FFFFFF"/>
        </w:rPr>
      </w:pPr>
      <w:r>
        <w:rPr>
          <w:rStyle w:val="25"/>
          <w:rFonts w:hint="eastAsia" w:ascii="方正仿宋_GB2312" w:hAnsi="方正仿宋_GB2312" w:eastAsia="方正仿宋_GB2312" w:cs="方正仿宋_GB2312"/>
          <w:b w:val="0"/>
          <w:bCs w:val="0"/>
          <w:sz w:val="18"/>
          <w:szCs w:val="18"/>
        </w:rPr>
        <w:footnoteRef/>
      </w:r>
      <w:r>
        <w:rPr>
          <w:rStyle w:val="15"/>
          <w:rFonts w:hint="eastAsia" w:ascii="方正仿宋_GB2312" w:hAnsi="方正仿宋_GB2312" w:eastAsia="方正仿宋_GB2312" w:cs="方正仿宋_GB2312"/>
          <w:b w:val="0"/>
          <w:bCs w:val="0"/>
          <w:color w:val="333333"/>
          <w:sz w:val="18"/>
          <w:szCs w:val="18"/>
          <w:shd w:val="clear" w:color="auto" w:fill="FFFFFF"/>
        </w:rPr>
        <w:t>《起重机安全规程》（GB6067.1-2010）13.3：人员的安全装备规定，部分作业人员未配戴安全帽，安全带等安全防护装。</w:t>
      </w:r>
    </w:p>
  </w:footnote>
  <w:footnote w:id="2">
    <w:p w14:paraId="3BBBD39C">
      <w:pPr>
        <w:pStyle w:val="10"/>
        <w:spacing w:line="240" w:lineRule="exact"/>
        <w:rPr>
          <w:rStyle w:val="15"/>
          <w:rFonts w:hint="eastAsia" w:ascii="方正仿宋_GB2312" w:hAnsi="方正仿宋_GB2312" w:eastAsia="方正仿宋_GB2312" w:cs="方正仿宋_GB2312"/>
          <w:b w:val="0"/>
          <w:bCs w:val="0"/>
          <w:color w:val="333333"/>
          <w:sz w:val="18"/>
          <w:szCs w:val="18"/>
          <w:shd w:val="clear" w:color="auto" w:fill="FFFFFF"/>
        </w:rPr>
      </w:pPr>
      <w:r>
        <w:rPr>
          <w:rStyle w:val="25"/>
          <w:rFonts w:hint="eastAsia" w:ascii="方正仿宋_GB2312" w:hAnsi="方正仿宋_GB2312" w:eastAsia="方正仿宋_GB2312" w:cs="方正仿宋_GB2312"/>
          <w:b w:val="0"/>
          <w:bCs w:val="0"/>
          <w:sz w:val="18"/>
          <w:szCs w:val="18"/>
        </w:rPr>
        <w:footnoteRef/>
      </w:r>
      <w:r>
        <w:rPr>
          <w:rStyle w:val="15"/>
          <w:rFonts w:hint="eastAsia" w:ascii="方正仿宋_GB2312" w:hAnsi="方正仿宋_GB2312" w:eastAsia="方正仿宋_GB2312" w:cs="方正仿宋_GB2312"/>
          <w:b w:val="0"/>
          <w:bCs w:val="0"/>
          <w:color w:val="333333"/>
          <w:sz w:val="18"/>
          <w:szCs w:val="18"/>
          <w:shd w:val="clear" w:color="auto" w:fill="FFFFFF"/>
        </w:rPr>
        <w:t xml:space="preserve"> 《起重机安全规程》（GB6067.1-2010）12.2：起重机作业人员选择基本要求的规定，在该起重机出现异响故障后，检修人员不熟悉该起重机及其危险性，没有受过相应的教育和培训包括学习特种设备使用方面的相关课程，不熟悉起重机械维护的有关程序和安全防护措施。</w:t>
      </w:r>
    </w:p>
  </w:footnote>
  <w:footnote w:id="3">
    <w:p w14:paraId="7948975B">
      <w:pPr>
        <w:pStyle w:val="10"/>
        <w:spacing w:line="240" w:lineRule="exact"/>
        <w:rPr>
          <w:rStyle w:val="15"/>
          <w:rFonts w:hint="eastAsia" w:ascii="方正仿宋_GB2312" w:hAnsi="方正仿宋_GB2312" w:eastAsia="方正仿宋_GB2312" w:cs="方正仿宋_GB2312"/>
          <w:b w:val="0"/>
          <w:bCs w:val="0"/>
          <w:color w:val="333333"/>
          <w:sz w:val="18"/>
          <w:szCs w:val="18"/>
          <w:shd w:val="clear" w:color="auto" w:fill="FFFFFF"/>
        </w:rPr>
      </w:pPr>
      <w:r>
        <w:rPr>
          <w:rStyle w:val="25"/>
          <w:rFonts w:hint="eastAsia" w:ascii="方正仿宋_GB2312" w:hAnsi="方正仿宋_GB2312" w:eastAsia="方正仿宋_GB2312" w:cs="方正仿宋_GB2312"/>
          <w:b w:val="0"/>
          <w:bCs w:val="0"/>
          <w:sz w:val="18"/>
          <w:szCs w:val="18"/>
        </w:rPr>
        <w:footnoteRef/>
      </w:r>
      <w:r>
        <w:rPr>
          <w:rStyle w:val="15"/>
          <w:rFonts w:hint="eastAsia" w:ascii="方正仿宋_GB2312" w:hAnsi="方正仿宋_GB2312" w:eastAsia="方正仿宋_GB2312" w:cs="方正仿宋_GB2312"/>
          <w:b w:val="0"/>
          <w:bCs w:val="0"/>
          <w:color w:val="333333"/>
          <w:sz w:val="18"/>
          <w:szCs w:val="18"/>
          <w:shd w:val="clear" w:color="auto" w:fill="FFFFFF"/>
        </w:rPr>
        <w:t>《中华人民共和国特种设备安全法》第三十四条：特种设备使用单位未建立岗位责任、隐患治理等安全管理制度，未制定操作规程。</w:t>
      </w:r>
    </w:p>
  </w:footnote>
  <w:footnote w:id="4">
    <w:p w14:paraId="3826C2DD">
      <w:pPr>
        <w:pStyle w:val="10"/>
        <w:spacing w:line="240" w:lineRule="exact"/>
        <w:rPr>
          <w:rFonts w:hint="eastAsia" w:ascii="方正仿宋_GB2312" w:hAnsi="方正仿宋_GB2312" w:eastAsia="方正仿宋_GB2312" w:cs="方正仿宋_GB2312"/>
          <w:b w:val="0"/>
          <w:bCs w:val="0"/>
          <w:color w:val="333333"/>
          <w:sz w:val="18"/>
          <w:szCs w:val="18"/>
          <w:shd w:val="clear" w:color="auto" w:fill="FFFFFF"/>
        </w:rPr>
      </w:pPr>
      <w:r>
        <w:rPr>
          <w:rStyle w:val="25"/>
          <w:rFonts w:hint="eastAsia" w:ascii="方正仿宋_GB2312" w:hAnsi="方正仿宋_GB2312" w:eastAsia="方正仿宋_GB2312" w:cs="方正仿宋_GB2312"/>
          <w:b w:val="0"/>
          <w:bCs w:val="0"/>
          <w:sz w:val="18"/>
          <w:szCs w:val="18"/>
        </w:rPr>
        <w:footnoteRef/>
      </w:r>
      <w:r>
        <w:rPr>
          <w:rStyle w:val="15"/>
          <w:rFonts w:hint="eastAsia" w:ascii="方正仿宋_GB2312" w:hAnsi="方正仿宋_GB2312" w:eastAsia="方正仿宋_GB2312" w:cs="方正仿宋_GB2312"/>
          <w:b w:val="0"/>
          <w:bCs w:val="0"/>
          <w:color w:val="333333"/>
          <w:sz w:val="18"/>
          <w:szCs w:val="18"/>
          <w:shd w:val="clear" w:color="auto" w:fill="FFFFFF"/>
        </w:rPr>
        <w:t xml:space="preserve"> 《中华人民共和国特种设备安全法》第三十五条：特种设备使用单位未按规定建立完整的特种设备安全技术档案；</w:t>
      </w:r>
    </w:p>
  </w:footnote>
  <w:footnote w:id="5">
    <w:p w14:paraId="4E8F355E">
      <w:pPr>
        <w:pStyle w:val="10"/>
        <w:rPr>
          <w:rFonts w:hint="eastAsia" w:ascii="方正仿宋_GB2312" w:hAnsi="方正仿宋_GB2312" w:eastAsia="方正仿宋_GB2312" w:cs="方正仿宋_GB2312"/>
          <w:b w:val="0"/>
          <w:bCs w:val="0"/>
          <w:sz w:val="18"/>
          <w:szCs w:val="18"/>
        </w:rPr>
      </w:pPr>
      <w:r>
        <w:rPr>
          <w:rStyle w:val="25"/>
          <w:rFonts w:hint="eastAsia" w:ascii="方正仿宋_GB2312" w:hAnsi="方正仿宋_GB2312" w:eastAsia="方正仿宋_GB2312" w:cs="方正仿宋_GB2312"/>
          <w:b w:val="0"/>
          <w:bCs w:val="0"/>
          <w:sz w:val="18"/>
          <w:szCs w:val="18"/>
        </w:rPr>
        <w:footnoteRef/>
      </w:r>
      <w:r>
        <w:rPr>
          <w:rStyle w:val="15"/>
          <w:rFonts w:hint="eastAsia" w:ascii="方正仿宋_GB2312" w:hAnsi="方正仿宋_GB2312" w:eastAsia="方正仿宋_GB2312" w:cs="方正仿宋_GB2312"/>
          <w:b w:val="0"/>
          <w:bCs w:val="0"/>
          <w:color w:val="333333"/>
          <w:sz w:val="18"/>
          <w:szCs w:val="18"/>
          <w:shd w:val="clear" w:color="auto" w:fill="FFFFFF"/>
        </w:rPr>
        <w:t>《中华人民共和国特种设备安全法》第十三条：</w:t>
      </w:r>
      <w:r>
        <w:rPr>
          <w:rFonts w:hint="eastAsia" w:ascii="方正仿宋_GB2312" w:hAnsi="方正仿宋_GB2312" w:eastAsia="方正仿宋_GB2312" w:cs="方正仿宋_GB2312"/>
          <w:b w:val="0"/>
          <w:bCs w:val="0"/>
          <w:color w:val="333333"/>
          <w:sz w:val="18"/>
          <w:szCs w:val="18"/>
          <w:shd w:val="clear" w:color="auto" w:fill="FFFFFF"/>
        </w:rPr>
        <w:t>特种设备使用单位未按照国家有关规定配备特种设备安全管理人员、检测人员和作业人员，并对其进行必要的安全教育和技能培训。</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NotDisplayPageBoundaries w:val="1"/>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2"/>
    </o:shapelayout>
  </w:hdrShapeDefaults>
  <w:footnotePr>
    <w:footnote w:id="12"/>
    <w:footnote w:id="13"/>
  </w:footnotePr>
  <w:compat>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NGYxZDFhMjExYTY1ZmZmMmRiNDVmMDFmZGY4MGEifQ=="/>
    <w:docVar w:name="KSO_WPS_MARK_KEY" w:val="641ad817-558c-4bcb-99b5-04a759face3d"/>
  </w:docVars>
  <w:rsids>
    <w:rsidRoot w:val="00D31D50"/>
    <w:rsid w:val="00016BF8"/>
    <w:rsid w:val="0003095F"/>
    <w:rsid w:val="000669B8"/>
    <w:rsid w:val="000A7810"/>
    <w:rsid w:val="000B0DC8"/>
    <w:rsid w:val="000D7391"/>
    <w:rsid w:val="00133393"/>
    <w:rsid w:val="00165FDA"/>
    <w:rsid w:val="001A5EE4"/>
    <w:rsid w:val="001C0469"/>
    <w:rsid w:val="001E46DA"/>
    <w:rsid w:val="002700D2"/>
    <w:rsid w:val="002D5290"/>
    <w:rsid w:val="002D5629"/>
    <w:rsid w:val="002E0148"/>
    <w:rsid w:val="002F1AC8"/>
    <w:rsid w:val="00323B43"/>
    <w:rsid w:val="00365E31"/>
    <w:rsid w:val="00377892"/>
    <w:rsid w:val="00385780"/>
    <w:rsid w:val="00396BAC"/>
    <w:rsid w:val="003D0676"/>
    <w:rsid w:val="003D37D8"/>
    <w:rsid w:val="00426133"/>
    <w:rsid w:val="00431900"/>
    <w:rsid w:val="004358AB"/>
    <w:rsid w:val="00492E61"/>
    <w:rsid w:val="004C1E83"/>
    <w:rsid w:val="0052110C"/>
    <w:rsid w:val="0056217B"/>
    <w:rsid w:val="005B1145"/>
    <w:rsid w:val="005C0C73"/>
    <w:rsid w:val="005E04A7"/>
    <w:rsid w:val="0066191A"/>
    <w:rsid w:val="006811B1"/>
    <w:rsid w:val="006A70E4"/>
    <w:rsid w:val="006B4E41"/>
    <w:rsid w:val="006C7CF8"/>
    <w:rsid w:val="007364C3"/>
    <w:rsid w:val="00754B55"/>
    <w:rsid w:val="007553E4"/>
    <w:rsid w:val="00785BC9"/>
    <w:rsid w:val="007F5F27"/>
    <w:rsid w:val="008003DE"/>
    <w:rsid w:val="00815A10"/>
    <w:rsid w:val="0082492C"/>
    <w:rsid w:val="0082611A"/>
    <w:rsid w:val="00853C61"/>
    <w:rsid w:val="008B4DD8"/>
    <w:rsid w:val="008B7726"/>
    <w:rsid w:val="0093492A"/>
    <w:rsid w:val="009414DE"/>
    <w:rsid w:val="00995288"/>
    <w:rsid w:val="0099617B"/>
    <w:rsid w:val="009C729D"/>
    <w:rsid w:val="009D05BC"/>
    <w:rsid w:val="009F7788"/>
    <w:rsid w:val="00A05749"/>
    <w:rsid w:val="00A26B45"/>
    <w:rsid w:val="00A317A3"/>
    <w:rsid w:val="00AE31DC"/>
    <w:rsid w:val="00AE39B7"/>
    <w:rsid w:val="00B10A44"/>
    <w:rsid w:val="00B72BA5"/>
    <w:rsid w:val="00B738E4"/>
    <w:rsid w:val="00B9167F"/>
    <w:rsid w:val="00BA4823"/>
    <w:rsid w:val="00BB13BA"/>
    <w:rsid w:val="00BC39EB"/>
    <w:rsid w:val="00BF528E"/>
    <w:rsid w:val="00C4163E"/>
    <w:rsid w:val="00C70DEB"/>
    <w:rsid w:val="00CB08D4"/>
    <w:rsid w:val="00D01F37"/>
    <w:rsid w:val="00D2255D"/>
    <w:rsid w:val="00D25734"/>
    <w:rsid w:val="00D3025C"/>
    <w:rsid w:val="00D31D50"/>
    <w:rsid w:val="00D3310F"/>
    <w:rsid w:val="00D3745A"/>
    <w:rsid w:val="00D42D71"/>
    <w:rsid w:val="00D53359"/>
    <w:rsid w:val="00D60829"/>
    <w:rsid w:val="00D7799F"/>
    <w:rsid w:val="00D94983"/>
    <w:rsid w:val="00DC11C0"/>
    <w:rsid w:val="00DC4898"/>
    <w:rsid w:val="00DE2D13"/>
    <w:rsid w:val="00E057DD"/>
    <w:rsid w:val="00E11AC9"/>
    <w:rsid w:val="00E51899"/>
    <w:rsid w:val="00E566E0"/>
    <w:rsid w:val="00E7011B"/>
    <w:rsid w:val="00ED4BBD"/>
    <w:rsid w:val="00ED50A1"/>
    <w:rsid w:val="00F55DD3"/>
    <w:rsid w:val="00F660EA"/>
    <w:rsid w:val="00FA1E47"/>
    <w:rsid w:val="00FE71A5"/>
    <w:rsid w:val="035F28EA"/>
    <w:rsid w:val="040B4222"/>
    <w:rsid w:val="04921C4C"/>
    <w:rsid w:val="05A4187B"/>
    <w:rsid w:val="06661730"/>
    <w:rsid w:val="07370AAF"/>
    <w:rsid w:val="07806856"/>
    <w:rsid w:val="08206641"/>
    <w:rsid w:val="08E06064"/>
    <w:rsid w:val="09884252"/>
    <w:rsid w:val="09DB5EED"/>
    <w:rsid w:val="09DE07DD"/>
    <w:rsid w:val="0A9044C6"/>
    <w:rsid w:val="0C6306C8"/>
    <w:rsid w:val="0D85438C"/>
    <w:rsid w:val="11140FCA"/>
    <w:rsid w:val="11153BA5"/>
    <w:rsid w:val="13144E58"/>
    <w:rsid w:val="13CF2218"/>
    <w:rsid w:val="15281C2B"/>
    <w:rsid w:val="159E68CA"/>
    <w:rsid w:val="1690676A"/>
    <w:rsid w:val="17311C08"/>
    <w:rsid w:val="1849754B"/>
    <w:rsid w:val="19293481"/>
    <w:rsid w:val="19C43660"/>
    <w:rsid w:val="1AB5126F"/>
    <w:rsid w:val="1B6034CD"/>
    <w:rsid w:val="1BB535C0"/>
    <w:rsid w:val="1BD64345"/>
    <w:rsid w:val="1CDB72CC"/>
    <w:rsid w:val="1D530D83"/>
    <w:rsid w:val="1D706AC1"/>
    <w:rsid w:val="1D725DA0"/>
    <w:rsid w:val="1E2736CD"/>
    <w:rsid w:val="1E547A29"/>
    <w:rsid w:val="1EF129F7"/>
    <w:rsid w:val="1FE804A3"/>
    <w:rsid w:val="21A67DF9"/>
    <w:rsid w:val="21D87F9F"/>
    <w:rsid w:val="21E4123C"/>
    <w:rsid w:val="232F2F91"/>
    <w:rsid w:val="247365F6"/>
    <w:rsid w:val="26BA167C"/>
    <w:rsid w:val="2ADE1616"/>
    <w:rsid w:val="2B08148B"/>
    <w:rsid w:val="2C1427CB"/>
    <w:rsid w:val="2EED496B"/>
    <w:rsid w:val="2F677441"/>
    <w:rsid w:val="30BD7B54"/>
    <w:rsid w:val="3204207A"/>
    <w:rsid w:val="32742DB9"/>
    <w:rsid w:val="334E3795"/>
    <w:rsid w:val="36975077"/>
    <w:rsid w:val="37402DB7"/>
    <w:rsid w:val="3C2275D1"/>
    <w:rsid w:val="3C3A352D"/>
    <w:rsid w:val="3C5E6071"/>
    <w:rsid w:val="3DCE22A2"/>
    <w:rsid w:val="3E676D22"/>
    <w:rsid w:val="3FCB7A8D"/>
    <w:rsid w:val="41606DD1"/>
    <w:rsid w:val="42D37A4D"/>
    <w:rsid w:val="4326134D"/>
    <w:rsid w:val="43F03604"/>
    <w:rsid w:val="441B7732"/>
    <w:rsid w:val="44F86257"/>
    <w:rsid w:val="4564455D"/>
    <w:rsid w:val="45D39D50"/>
    <w:rsid w:val="46942698"/>
    <w:rsid w:val="483F1C28"/>
    <w:rsid w:val="48AD718D"/>
    <w:rsid w:val="4ACFD09C"/>
    <w:rsid w:val="4C225231"/>
    <w:rsid w:val="4C5C2575"/>
    <w:rsid w:val="4E3F9FCF"/>
    <w:rsid w:val="519311FF"/>
    <w:rsid w:val="52484CBE"/>
    <w:rsid w:val="53D635F9"/>
    <w:rsid w:val="56F561F1"/>
    <w:rsid w:val="56FB5DD2"/>
    <w:rsid w:val="57092206"/>
    <w:rsid w:val="572C05F0"/>
    <w:rsid w:val="57430518"/>
    <w:rsid w:val="5C053DAE"/>
    <w:rsid w:val="5C551B94"/>
    <w:rsid w:val="5D6121B1"/>
    <w:rsid w:val="5E430E3F"/>
    <w:rsid w:val="5EBDDC72"/>
    <w:rsid w:val="63304CC7"/>
    <w:rsid w:val="65425C60"/>
    <w:rsid w:val="67B3BAA5"/>
    <w:rsid w:val="680B43F7"/>
    <w:rsid w:val="686E7558"/>
    <w:rsid w:val="68774D30"/>
    <w:rsid w:val="68DC1D20"/>
    <w:rsid w:val="69EA073F"/>
    <w:rsid w:val="69FB4979"/>
    <w:rsid w:val="6C39672A"/>
    <w:rsid w:val="6C974738"/>
    <w:rsid w:val="6D633023"/>
    <w:rsid w:val="6DB44FA4"/>
    <w:rsid w:val="6DD10C8D"/>
    <w:rsid w:val="6E0F17B6"/>
    <w:rsid w:val="6EF47329"/>
    <w:rsid w:val="702552C0"/>
    <w:rsid w:val="72F525F1"/>
    <w:rsid w:val="73370606"/>
    <w:rsid w:val="73691F78"/>
    <w:rsid w:val="768A4B1F"/>
    <w:rsid w:val="776E8FB7"/>
    <w:rsid w:val="776F6A3D"/>
    <w:rsid w:val="77FA157F"/>
    <w:rsid w:val="79D76D25"/>
    <w:rsid w:val="7A227BF7"/>
    <w:rsid w:val="7BFFF5A9"/>
    <w:rsid w:val="7CB24380"/>
    <w:rsid w:val="7DBD7CFC"/>
    <w:rsid w:val="7EEBA638"/>
    <w:rsid w:val="7EF31FC8"/>
    <w:rsid w:val="7F550615"/>
    <w:rsid w:val="7FAB41D8"/>
    <w:rsid w:val="7FE9771A"/>
    <w:rsid w:val="8DF24C34"/>
    <w:rsid w:val="9CAFF578"/>
    <w:rsid w:val="9FEFAA66"/>
    <w:rsid w:val="B2F74098"/>
    <w:rsid w:val="BA7B23C6"/>
    <w:rsid w:val="BE7A318F"/>
    <w:rsid w:val="BF65B027"/>
    <w:rsid w:val="BFE7492B"/>
    <w:rsid w:val="CFBE4F2C"/>
    <w:rsid w:val="DFB699A0"/>
    <w:rsid w:val="DFFE5E01"/>
    <w:rsid w:val="EDF54532"/>
    <w:rsid w:val="EFEBCC29"/>
    <w:rsid w:val="F7DBCD89"/>
    <w:rsid w:val="F9FF04EC"/>
    <w:rsid w:val="FE734873"/>
    <w:rsid w:val="FF7D011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4">
    <w:name w:val="heading 1"/>
    <w:basedOn w:val="1"/>
    <w:next w:val="1"/>
    <w:link w:val="31"/>
    <w:qFormat/>
    <w:uiPriority w:val="9"/>
    <w:pPr>
      <w:spacing w:after="0"/>
      <w:outlineLvl w:val="0"/>
    </w:pPr>
    <w:rPr>
      <w:rFonts w:hint="eastAsia" w:ascii="宋体" w:hAnsi="宋体" w:eastAsia="宋体" w:cs="Times New Roman"/>
      <w:kern w:val="44"/>
      <w:sz w:val="18"/>
      <w:szCs w:val="1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spacing w:after="0" w:line="500" w:lineRule="exact"/>
      <w:ind w:firstLine="420"/>
    </w:pPr>
    <w:rPr>
      <w:rFonts w:ascii="Times New Roman" w:hAnsi="Times New Roman" w:eastAsia="楷体_GB2312"/>
      <w:sz w:val="28"/>
      <w:szCs w:val="20"/>
    </w:rPr>
  </w:style>
  <w:style w:type="paragraph" w:styleId="3">
    <w:name w:val="Body Text"/>
    <w:basedOn w:val="1"/>
    <w:next w:val="2"/>
    <w:qFormat/>
    <w:uiPriority w:val="1"/>
    <w:pPr>
      <w:spacing w:before="42"/>
      <w:ind w:left="101"/>
    </w:pPr>
    <w:rPr>
      <w:rFonts w:ascii="仿宋_GB2312" w:hAnsi="仿宋_GB2312" w:eastAsia="仿宋_GB2312"/>
      <w:sz w:val="32"/>
      <w:szCs w:val="32"/>
    </w:rPr>
  </w:style>
  <w:style w:type="paragraph" w:styleId="5">
    <w:name w:val="toc 3"/>
    <w:basedOn w:val="1"/>
    <w:next w:val="1"/>
    <w:unhideWhenUsed/>
    <w:qFormat/>
    <w:uiPriority w:val="39"/>
    <w:pPr>
      <w:ind w:left="840" w:leftChars="400"/>
    </w:pPr>
  </w:style>
  <w:style w:type="paragraph" w:styleId="6">
    <w:name w:val="Balloon Text"/>
    <w:basedOn w:val="1"/>
    <w:link w:val="28"/>
    <w:semiHidden/>
    <w:unhideWhenUsed/>
    <w:qFormat/>
    <w:uiPriority w:val="99"/>
    <w:pPr>
      <w:spacing w:after="0"/>
    </w:pPr>
    <w:rPr>
      <w:sz w:val="18"/>
      <w:szCs w:val="18"/>
    </w:rPr>
  </w:style>
  <w:style w:type="paragraph" w:styleId="7">
    <w:name w:val="footer"/>
    <w:basedOn w:val="1"/>
    <w:link w:val="30"/>
    <w:unhideWhenUsed/>
    <w:qFormat/>
    <w:uiPriority w:val="99"/>
    <w:pPr>
      <w:tabs>
        <w:tab w:val="center" w:pos="4153"/>
        <w:tab w:val="right" w:pos="8306"/>
      </w:tabs>
    </w:pPr>
    <w:rPr>
      <w:sz w:val="18"/>
    </w:rPr>
  </w:style>
  <w:style w:type="paragraph" w:styleId="8">
    <w:name w:val="header"/>
    <w:basedOn w:val="1"/>
    <w:unhideWhenUsed/>
    <w:qFormat/>
    <w:uiPriority w:val="0"/>
    <w:pPr>
      <w:widowControl w:val="0"/>
      <w:pBdr>
        <w:bottom w:val="single" w:color="auto" w:sz="6" w:space="1"/>
      </w:pBdr>
      <w:tabs>
        <w:tab w:val="center" w:pos="4153"/>
        <w:tab w:val="right" w:pos="8306"/>
      </w:tabs>
      <w:adjustRightInd/>
      <w:spacing w:after="0"/>
      <w:jc w:val="center"/>
    </w:pPr>
    <w:rPr>
      <w:rFonts w:ascii="Calibri" w:hAnsi="Calibri" w:eastAsia="宋体"/>
      <w:kern w:val="2"/>
      <w:sz w:val="18"/>
      <w:szCs w:val="18"/>
    </w:rPr>
  </w:style>
  <w:style w:type="paragraph" w:styleId="9">
    <w:name w:val="toc 1"/>
    <w:basedOn w:val="1"/>
    <w:next w:val="1"/>
    <w:unhideWhenUsed/>
    <w:qFormat/>
    <w:uiPriority w:val="39"/>
  </w:style>
  <w:style w:type="paragraph" w:styleId="10">
    <w:name w:val="footnote text"/>
    <w:basedOn w:val="1"/>
    <w:semiHidden/>
    <w:unhideWhenUsed/>
    <w:qFormat/>
    <w:uiPriority w:val="99"/>
    <w:rPr>
      <w:sz w:val="18"/>
    </w:rPr>
  </w:style>
  <w:style w:type="paragraph" w:styleId="11">
    <w:name w:val="toc 2"/>
    <w:basedOn w:val="1"/>
    <w:next w:val="1"/>
    <w:unhideWhenUsed/>
    <w:qFormat/>
    <w:uiPriority w:val="39"/>
    <w:pPr>
      <w:ind w:left="420" w:leftChars="200"/>
    </w:pPr>
  </w:style>
  <w:style w:type="paragraph" w:styleId="12">
    <w:name w:val="Normal (Web)"/>
    <w:basedOn w:val="1"/>
    <w:semiHidden/>
    <w:unhideWhenUsed/>
    <w:qFormat/>
    <w:uiPriority w:val="99"/>
    <w:pPr>
      <w:spacing w:after="0"/>
    </w:pPr>
    <w:rPr>
      <w:rFonts w:hint="eastAsia" w:ascii="宋体" w:hAnsi="宋体" w:eastAsia="宋体" w:cs="Times New Roman"/>
      <w:color w:val="000000"/>
      <w:sz w:val="18"/>
      <w:szCs w:val="18"/>
    </w:rPr>
  </w:style>
  <w:style w:type="character" w:styleId="15">
    <w:name w:val="Strong"/>
    <w:basedOn w:val="14"/>
    <w:qFormat/>
    <w:uiPriority w:val="22"/>
    <w:rPr>
      <w:b/>
    </w:rPr>
  </w:style>
  <w:style w:type="character" w:styleId="16">
    <w:name w:val="FollowedHyperlink"/>
    <w:basedOn w:val="14"/>
    <w:semiHidden/>
    <w:unhideWhenUsed/>
    <w:qFormat/>
    <w:uiPriority w:val="99"/>
    <w:rPr>
      <w:color w:val="800080"/>
      <w:u w:val="none"/>
    </w:rPr>
  </w:style>
  <w:style w:type="character" w:styleId="17">
    <w:name w:val="Emphasis"/>
    <w:basedOn w:val="14"/>
    <w:qFormat/>
    <w:uiPriority w:val="20"/>
    <w:rPr>
      <w:i/>
    </w:rPr>
  </w:style>
  <w:style w:type="character" w:styleId="18">
    <w:name w:val="HTML Definition"/>
    <w:basedOn w:val="14"/>
    <w:semiHidden/>
    <w:unhideWhenUsed/>
    <w:qFormat/>
    <w:uiPriority w:val="99"/>
  </w:style>
  <w:style w:type="character" w:styleId="19">
    <w:name w:val="HTML Typewriter"/>
    <w:basedOn w:val="14"/>
    <w:semiHidden/>
    <w:unhideWhenUsed/>
    <w:qFormat/>
    <w:uiPriority w:val="99"/>
    <w:rPr>
      <w:rFonts w:ascii="monospace" w:hAnsi="monospace" w:eastAsia="monospace" w:cs="monospace"/>
      <w:sz w:val="20"/>
    </w:rPr>
  </w:style>
  <w:style w:type="character" w:styleId="20">
    <w:name w:val="HTML Acronym"/>
    <w:basedOn w:val="14"/>
    <w:semiHidden/>
    <w:unhideWhenUsed/>
    <w:qFormat/>
    <w:uiPriority w:val="99"/>
  </w:style>
  <w:style w:type="character" w:styleId="21">
    <w:name w:val="HTML Variable"/>
    <w:basedOn w:val="14"/>
    <w:semiHidden/>
    <w:unhideWhenUsed/>
    <w:qFormat/>
    <w:uiPriority w:val="99"/>
  </w:style>
  <w:style w:type="character" w:styleId="22">
    <w:name w:val="Hyperlink"/>
    <w:basedOn w:val="14"/>
    <w:semiHidden/>
    <w:unhideWhenUsed/>
    <w:qFormat/>
    <w:uiPriority w:val="99"/>
    <w:rPr>
      <w:color w:val="0000FF"/>
      <w:u w:val="none"/>
    </w:rPr>
  </w:style>
  <w:style w:type="character" w:styleId="23">
    <w:name w:val="HTML Code"/>
    <w:basedOn w:val="14"/>
    <w:semiHidden/>
    <w:unhideWhenUsed/>
    <w:qFormat/>
    <w:uiPriority w:val="99"/>
    <w:rPr>
      <w:rFonts w:hint="default" w:ascii="monospace" w:hAnsi="monospace" w:eastAsia="monospace" w:cs="monospace"/>
      <w:sz w:val="20"/>
    </w:rPr>
  </w:style>
  <w:style w:type="character" w:styleId="24">
    <w:name w:val="HTML Cite"/>
    <w:basedOn w:val="14"/>
    <w:semiHidden/>
    <w:unhideWhenUsed/>
    <w:qFormat/>
    <w:uiPriority w:val="99"/>
  </w:style>
  <w:style w:type="character" w:styleId="25">
    <w:name w:val="footnote reference"/>
    <w:basedOn w:val="14"/>
    <w:semiHidden/>
    <w:unhideWhenUsed/>
    <w:qFormat/>
    <w:uiPriority w:val="99"/>
    <w:rPr>
      <w:vertAlign w:val="superscript"/>
    </w:rPr>
  </w:style>
  <w:style w:type="character" w:styleId="26">
    <w:name w:val="HTML Keyboard"/>
    <w:basedOn w:val="14"/>
    <w:semiHidden/>
    <w:unhideWhenUsed/>
    <w:qFormat/>
    <w:uiPriority w:val="99"/>
    <w:rPr>
      <w:rFonts w:hint="default" w:ascii="monospace" w:hAnsi="monospace" w:eastAsia="monospace" w:cs="monospace"/>
      <w:sz w:val="20"/>
    </w:rPr>
  </w:style>
  <w:style w:type="character" w:styleId="27">
    <w:name w:val="HTML Sample"/>
    <w:basedOn w:val="14"/>
    <w:semiHidden/>
    <w:unhideWhenUsed/>
    <w:qFormat/>
    <w:uiPriority w:val="99"/>
    <w:rPr>
      <w:rFonts w:hint="default" w:ascii="monospace" w:hAnsi="monospace" w:eastAsia="monospace" w:cs="monospace"/>
    </w:rPr>
  </w:style>
  <w:style w:type="character" w:customStyle="1" w:styleId="28">
    <w:name w:val="批注框文本 Char"/>
    <w:basedOn w:val="14"/>
    <w:link w:val="6"/>
    <w:semiHidden/>
    <w:qFormat/>
    <w:uiPriority w:val="99"/>
    <w:rPr>
      <w:rFonts w:ascii="Tahoma" w:hAnsi="Tahoma"/>
      <w:sz w:val="18"/>
      <w:szCs w:val="18"/>
    </w:rPr>
  </w:style>
  <w:style w:type="paragraph" w:styleId="29">
    <w:name w:val="List Paragraph"/>
    <w:basedOn w:val="1"/>
    <w:qFormat/>
    <w:uiPriority w:val="34"/>
    <w:pPr>
      <w:widowControl w:val="0"/>
      <w:adjustRightInd/>
      <w:snapToGrid/>
      <w:spacing w:after="0"/>
      <w:ind w:firstLine="420" w:firstLineChars="200"/>
      <w:jc w:val="both"/>
    </w:pPr>
    <w:rPr>
      <w:rFonts w:asciiTheme="minorHAnsi" w:hAnsiTheme="minorHAnsi" w:eastAsiaTheme="minorEastAsia"/>
      <w:kern w:val="2"/>
      <w:sz w:val="21"/>
    </w:rPr>
  </w:style>
  <w:style w:type="character" w:customStyle="1" w:styleId="30">
    <w:name w:val="页脚 Char"/>
    <w:basedOn w:val="14"/>
    <w:link w:val="7"/>
    <w:qFormat/>
    <w:uiPriority w:val="0"/>
    <w:rPr>
      <w:kern w:val="2"/>
      <w:sz w:val="18"/>
      <w:szCs w:val="18"/>
    </w:rPr>
  </w:style>
  <w:style w:type="character" w:customStyle="1" w:styleId="31">
    <w:name w:val="标题 1 Char"/>
    <w:basedOn w:val="14"/>
    <w:link w:val="4"/>
    <w:qFormat/>
    <w:uiPriority w:val="0"/>
    <w:rPr>
      <w:rFonts w:hint="eastAsia" w:ascii="宋体" w:hAnsi="宋体" w:eastAsia="宋体" w:cs="宋体"/>
      <w:kern w:val="44"/>
      <w:sz w:val="18"/>
      <w:szCs w:val="18"/>
    </w:rPr>
  </w:style>
  <w:style w:type="paragraph" w:customStyle="1" w:styleId="32">
    <w:name w:val="WPSOffice手动目录 1"/>
    <w:qFormat/>
    <w:uiPriority w:val="0"/>
    <w:rPr>
      <w:rFonts w:ascii="Times New Roman" w:hAnsi="Times New Roman" w:eastAsia="宋体" w:cs="Times New Roman"/>
      <w:lang w:val="en-US" w:eastAsia="zh-CN" w:bidi="ar-SA"/>
    </w:rPr>
  </w:style>
  <w:style w:type="paragraph" w:customStyle="1" w:styleId="3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4">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5">
    <w:name w:val="hover"/>
    <w:basedOn w:val="14"/>
    <w:qFormat/>
    <w:uiPriority w:val="0"/>
    <w:rPr>
      <w:shd w:val="clear" w:color="auto" w:fill="BC0501"/>
    </w:rPr>
  </w:style>
  <w:style w:type="paragraph" w:customStyle="1" w:styleId="36">
    <w:name w:val="TOC 标题1"/>
    <w:basedOn w:val="4"/>
    <w:next w:val="1"/>
    <w:unhideWhenUsed/>
    <w:qFormat/>
    <w:uiPriority w:val="39"/>
    <w:pPr>
      <w:keepNext/>
      <w:keepLines/>
      <w:adjustRightInd/>
      <w:snapToGrid/>
      <w:spacing w:before="240" w:line="259" w:lineRule="auto"/>
      <w:outlineLvl w:val="9"/>
    </w:pPr>
    <w:rPr>
      <w:rFonts w:hint="default" w:asciiTheme="majorHAnsi" w:hAnsiTheme="majorHAnsi" w:eastAsiaTheme="majorEastAsia" w:cstheme="majorBidi"/>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02e49c1-9c86-40a1-a3eb-bec6c9f2c53e}"/>
        <w:style w:val=""/>
        <w:category>
          <w:name w:val="常规"/>
          <w:gallery w:val="placeholder"/>
        </w:category>
        <w:types>
          <w:type w:val="bbPlcHdr"/>
        </w:types>
        <w:behaviors>
          <w:behavior w:val="content"/>
        </w:behaviors>
        <w:description w:val=""/>
        <w:guid w:val="{a02e49c1-9c86-40a1-a3eb-bec6c9f2c53e}"/>
      </w:docPartPr>
      <w:docPartBody>
        <w:p w14:paraId="2A23517A">
          <w:r>
            <w:rPr>
              <w:color w:val="808080"/>
            </w:rPr>
            <w:t>单击此处输入文字。</w:t>
          </w:r>
        </w:p>
      </w:docPartBody>
    </w:docPart>
    <w:docPart>
      <w:docPartPr>
        <w:name w:val="{e22ee29d-86f8-4116-aab4-dbac17119966}"/>
        <w:style w:val=""/>
        <w:category>
          <w:name w:val="常规"/>
          <w:gallery w:val="placeholder"/>
        </w:category>
        <w:types>
          <w:type w:val="bbPlcHdr"/>
        </w:types>
        <w:behaviors>
          <w:behavior w:val="content"/>
        </w:behaviors>
        <w:description w:val=""/>
        <w:guid w:val="{e22ee29d-86f8-4116-aab4-dbac17119966}"/>
      </w:docPartPr>
      <w:docPartBody>
        <w:p w14:paraId="1346C49B">
          <w:r>
            <w:rPr>
              <w:color w:val="808080"/>
            </w:rPr>
            <w:t>单击此处输入文字。</w:t>
          </w:r>
        </w:p>
      </w:docPartBody>
    </w:docPart>
    <w:docPart>
      <w:docPartPr>
        <w:name w:val="{96825e2a-4e9a-477b-b53a-db9efce78892}"/>
        <w:style w:val=""/>
        <w:category>
          <w:name w:val="常规"/>
          <w:gallery w:val="placeholder"/>
        </w:category>
        <w:types>
          <w:type w:val="bbPlcHdr"/>
        </w:types>
        <w:behaviors>
          <w:behavior w:val="content"/>
        </w:behaviors>
        <w:description w:val=""/>
        <w:guid w:val="{96825e2a-4e9a-477b-b53a-db9efce78892}"/>
      </w:docPartPr>
      <w:docPartBody>
        <w:p w14:paraId="627EE7FF">
          <w:r>
            <w:rPr>
              <w:color w:val="808080"/>
            </w:rPr>
            <w:t>单击此处输入文字。</w:t>
          </w:r>
        </w:p>
      </w:docPartBody>
    </w:docPart>
    <w:docPart>
      <w:docPartPr>
        <w:name w:val="{99c6913e-99ec-44ef-b34c-3d34650285f3}"/>
        <w:style w:val=""/>
        <w:category>
          <w:name w:val="常规"/>
          <w:gallery w:val="placeholder"/>
        </w:category>
        <w:types>
          <w:type w:val="bbPlcHdr"/>
        </w:types>
        <w:behaviors>
          <w:behavior w:val="content"/>
        </w:behaviors>
        <w:description w:val=""/>
        <w:guid w:val="{99c6913e-99ec-44ef-b34c-3d34650285f3}"/>
      </w:docPartPr>
      <w:docPartBody>
        <w:p w14:paraId="6A8518CF">
          <w:r>
            <w:rPr>
              <w:color w:val="808080"/>
            </w:rPr>
            <w:t>单击此处输入文字。</w:t>
          </w:r>
        </w:p>
      </w:docPartBody>
    </w:docPart>
    <w:docPart>
      <w:docPartPr>
        <w:name w:val="{bd2c42de-5199-4b13-b089-95507dbf7fb0}"/>
        <w:style w:val=""/>
        <w:category>
          <w:name w:val="常规"/>
          <w:gallery w:val="placeholder"/>
        </w:category>
        <w:types>
          <w:type w:val="bbPlcHdr"/>
        </w:types>
        <w:behaviors>
          <w:behavior w:val="content"/>
        </w:behaviors>
        <w:description w:val=""/>
        <w:guid w:val="{bd2c42de-5199-4b13-b089-95507dbf7fb0}"/>
      </w:docPartPr>
      <w:docPartBody>
        <w:p w14:paraId="76611BBF">
          <w:r>
            <w:rPr>
              <w:color w:val="808080"/>
            </w:rPr>
            <w:t>单击此处输入文字。</w:t>
          </w:r>
        </w:p>
      </w:docPartBody>
    </w:docPart>
    <w:docPart>
      <w:docPartPr>
        <w:name w:val="{d4f61b7e-74d1-45c1-9fdb-290e44f15522}"/>
        <w:style w:val=""/>
        <w:category>
          <w:name w:val="常规"/>
          <w:gallery w:val="placeholder"/>
        </w:category>
        <w:types>
          <w:type w:val="bbPlcHdr"/>
        </w:types>
        <w:behaviors>
          <w:behavior w:val="content"/>
        </w:behaviors>
        <w:description w:val=""/>
        <w:guid w:val="{d4f61b7e-74d1-45c1-9fdb-290e44f15522}"/>
      </w:docPartPr>
      <w:docPartBody>
        <w:p w14:paraId="13E43205">
          <w:r>
            <w:rPr>
              <w:color w:val="808080"/>
            </w:rPr>
            <w:t>单击此处输入文字。</w:t>
          </w:r>
        </w:p>
      </w:docPartBody>
    </w:docPart>
    <w:docPart>
      <w:docPartPr>
        <w:name w:val="{7732facc-a2af-4d3e-8f39-bd92098f247f}"/>
        <w:style w:val=""/>
        <w:category>
          <w:name w:val="常规"/>
          <w:gallery w:val="placeholder"/>
        </w:category>
        <w:types>
          <w:type w:val="bbPlcHdr"/>
        </w:types>
        <w:behaviors>
          <w:behavior w:val="content"/>
        </w:behaviors>
        <w:description w:val=""/>
        <w:guid w:val="{7732facc-a2af-4d3e-8f39-bd92098f247f}"/>
      </w:docPartPr>
      <w:docPartBody>
        <w:p w14:paraId="1F5BD11C">
          <w:r>
            <w:rPr>
              <w:color w:val="808080"/>
            </w:rPr>
            <w:t>单击此处输入文字。</w:t>
          </w:r>
        </w:p>
      </w:docPartBody>
    </w:docPart>
    <w:docPart>
      <w:docPartPr>
        <w:name w:val="{a0d8f527-8f94-42fb-a62d-ded25c73c7ea}"/>
        <w:style w:val=""/>
        <w:category>
          <w:name w:val="常规"/>
          <w:gallery w:val="placeholder"/>
        </w:category>
        <w:types>
          <w:type w:val="bbPlcHdr"/>
        </w:types>
        <w:behaviors>
          <w:behavior w:val="content"/>
        </w:behaviors>
        <w:description w:val=""/>
        <w:guid w:val="{a0d8f527-8f94-42fb-a62d-ded25c73c7ea}"/>
      </w:docPartPr>
      <w:docPartBody>
        <w:p w14:paraId="5C83949C">
          <w:r>
            <w:rPr>
              <w:color w:val="808080"/>
            </w:rPr>
            <w:t>单击此处输入文字。</w:t>
          </w:r>
        </w:p>
      </w:docPartBody>
    </w:docPart>
    <w:docPart>
      <w:docPartPr>
        <w:name w:val="{838eeb25-c23a-4187-8c10-7d031f3e6940}"/>
        <w:style w:val=""/>
        <w:category>
          <w:name w:val="常规"/>
          <w:gallery w:val="placeholder"/>
        </w:category>
        <w:types>
          <w:type w:val="bbPlcHdr"/>
        </w:types>
        <w:behaviors>
          <w:behavior w:val="content"/>
        </w:behaviors>
        <w:description w:val=""/>
        <w:guid w:val="{838eeb25-c23a-4187-8c10-7d031f3e6940}"/>
      </w:docPartPr>
      <w:docPartBody>
        <w:p w14:paraId="33314F94">
          <w:r>
            <w:rPr>
              <w:color w:val="808080"/>
            </w:rPr>
            <w:t>单击此处输入文字。</w:t>
          </w:r>
        </w:p>
      </w:docPartBody>
    </w:docPart>
    <w:docPart>
      <w:docPartPr>
        <w:name w:val="{cf26ac91-e1da-446f-81a9-12d3f9e08ea6}"/>
        <w:style w:val=""/>
        <w:category>
          <w:name w:val="常规"/>
          <w:gallery w:val="placeholder"/>
        </w:category>
        <w:types>
          <w:type w:val="bbPlcHdr"/>
        </w:types>
        <w:behaviors>
          <w:behavior w:val="content"/>
        </w:behaviors>
        <w:description w:val=""/>
        <w:guid w:val="{cf26ac91-e1da-446f-81a9-12d3f9e08ea6}"/>
      </w:docPartPr>
      <w:docPartBody>
        <w:p w14:paraId="3025E695">
          <w:r>
            <w:rPr>
              <w:color w:val="808080"/>
            </w:rPr>
            <w:t>单击此处输入文字。</w:t>
          </w:r>
        </w:p>
      </w:docPartBody>
    </w:docPart>
    <w:docPart>
      <w:docPartPr>
        <w:name w:val="{c61100a3-7f4a-4f40-ad5c-2cab2004625f}"/>
        <w:style w:val=""/>
        <w:category>
          <w:name w:val="常规"/>
          <w:gallery w:val="placeholder"/>
        </w:category>
        <w:types>
          <w:type w:val="bbPlcHdr"/>
        </w:types>
        <w:behaviors>
          <w:behavior w:val="content"/>
        </w:behaviors>
        <w:description w:val=""/>
        <w:guid w:val="{c61100a3-7f4a-4f40-ad5c-2cab2004625f}"/>
      </w:docPartPr>
      <w:docPartBody>
        <w:p w14:paraId="04C7A9A5">
          <w:r>
            <w:rPr>
              <w:color w:val="808080"/>
            </w:rPr>
            <w:t>单击此处输入文字。</w:t>
          </w:r>
        </w:p>
      </w:docPartBody>
    </w:docPart>
    <w:docPart>
      <w:docPartPr>
        <w:name w:val="{ae88852f-aade-4a45-b5ff-738dab966ebc}"/>
        <w:style w:val=""/>
        <w:category>
          <w:name w:val="常规"/>
          <w:gallery w:val="placeholder"/>
        </w:category>
        <w:types>
          <w:type w:val="bbPlcHdr"/>
        </w:types>
        <w:behaviors>
          <w:behavior w:val="content"/>
        </w:behaviors>
        <w:description w:val=""/>
        <w:guid w:val="{ae88852f-aade-4a45-b5ff-738dab966ebc}"/>
      </w:docPartPr>
      <w:docPartBody>
        <w:p w14:paraId="15BEC12F">
          <w:r>
            <w:rPr>
              <w:color w:val="808080"/>
            </w:rPr>
            <w:t>单击此处输入文字。</w:t>
          </w:r>
        </w:p>
      </w:docPartBody>
    </w:docPart>
    <w:docPart>
      <w:docPartPr>
        <w:name w:val="{3b931e4d-9bc6-45a8-b292-e310de3e2148}"/>
        <w:style w:val=""/>
        <w:category>
          <w:name w:val="常规"/>
          <w:gallery w:val="placeholder"/>
        </w:category>
        <w:types>
          <w:type w:val="bbPlcHdr"/>
        </w:types>
        <w:behaviors>
          <w:behavior w:val="content"/>
        </w:behaviors>
        <w:description w:val=""/>
        <w:guid w:val="{3b931e4d-9bc6-45a8-b292-e310de3e2148}"/>
      </w:docPartPr>
      <w:docPartBody>
        <w:p w14:paraId="48E00459">
          <w:r>
            <w:rPr>
              <w:color w:val="808080"/>
            </w:rPr>
            <w:t>单击此处输入文字。</w:t>
          </w:r>
        </w:p>
      </w:docPartBody>
    </w:docPart>
    <w:docPart>
      <w:docPartPr>
        <w:name w:val="{7d1c04c7-3154-46e1-86a9-cb5bc8943439}"/>
        <w:style w:val=""/>
        <w:category>
          <w:name w:val="常规"/>
          <w:gallery w:val="placeholder"/>
        </w:category>
        <w:types>
          <w:type w:val="bbPlcHdr"/>
        </w:types>
        <w:behaviors>
          <w:behavior w:val="content"/>
        </w:behaviors>
        <w:description w:val=""/>
        <w:guid w:val="{7d1c04c7-3154-46e1-86a9-cb5bc8943439}"/>
      </w:docPartPr>
      <w:docPartBody>
        <w:p w14:paraId="68F612D1">
          <w:r>
            <w:rPr>
              <w:color w:val="808080"/>
            </w:rPr>
            <w:t>单击此处输入文字。</w:t>
          </w:r>
        </w:p>
      </w:docPartBody>
    </w:docPart>
    <w:docPart>
      <w:docPartPr>
        <w:name w:val="{4c775b2e-a52f-490e-b741-576af84faeb6}"/>
        <w:style w:val=""/>
        <w:category>
          <w:name w:val="常规"/>
          <w:gallery w:val="placeholder"/>
        </w:category>
        <w:types>
          <w:type w:val="bbPlcHdr"/>
        </w:types>
        <w:behaviors>
          <w:behavior w:val="content"/>
        </w:behaviors>
        <w:description w:val=""/>
        <w:guid w:val="{4c775b2e-a52f-490e-b741-576af84faeb6}"/>
      </w:docPartPr>
      <w:docPartBody>
        <w:p w14:paraId="083F063C">
          <w:r>
            <w:rPr>
              <w:color w:val="808080"/>
            </w:rPr>
            <w:t>单击此处输入文字。</w:t>
          </w:r>
        </w:p>
      </w:docPartBody>
    </w:docPart>
    <w:docPart>
      <w:docPartPr>
        <w:name w:val="{a37ced3d-8ca3-4afe-aa0f-fe41094c08c3}"/>
        <w:style w:val=""/>
        <w:category>
          <w:name w:val="常规"/>
          <w:gallery w:val="placeholder"/>
        </w:category>
        <w:types>
          <w:type w:val="bbPlcHdr"/>
        </w:types>
        <w:behaviors>
          <w:behavior w:val="content"/>
        </w:behaviors>
        <w:description w:val=""/>
        <w:guid w:val="{a37ced3d-8ca3-4afe-aa0f-fe41094c08c3}"/>
      </w:docPartPr>
      <w:docPartBody>
        <w:p w14:paraId="2EBB200A">
          <w:r>
            <w:rPr>
              <w:color w:val="808080"/>
            </w:rPr>
            <w:t>单击此处输入文字。</w:t>
          </w:r>
        </w:p>
      </w:docPartBody>
    </w:docPart>
    <w:docPart>
      <w:docPartPr>
        <w:name w:val="{d2800dbc-6710-499b-a9a9-a96ca90abe01}"/>
        <w:style w:val=""/>
        <w:category>
          <w:name w:val="常规"/>
          <w:gallery w:val="placeholder"/>
        </w:category>
        <w:types>
          <w:type w:val="bbPlcHdr"/>
        </w:types>
        <w:behaviors>
          <w:behavior w:val="content"/>
        </w:behaviors>
        <w:description w:val=""/>
        <w:guid w:val="{d2800dbc-6710-499b-a9a9-a96ca90abe01}"/>
      </w:docPartPr>
      <w:docPartBody>
        <w:p w14:paraId="256C43F3">
          <w:r>
            <w:rPr>
              <w:color w:val="808080"/>
            </w:rPr>
            <w:t>单击此处输入文字。</w:t>
          </w:r>
        </w:p>
      </w:docPartBody>
    </w:docPart>
    <w:docPart>
      <w:docPartPr>
        <w:name w:val="{9ff63b00-7678-4a2a-b97d-50f60cb95cc3}"/>
        <w:style w:val=""/>
        <w:category>
          <w:name w:val="常规"/>
          <w:gallery w:val="placeholder"/>
        </w:category>
        <w:types>
          <w:type w:val="bbPlcHdr"/>
        </w:types>
        <w:behaviors>
          <w:behavior w:val="content"/>
        </w:behaviors>
        <w:description w:val=""/>
        <w:guid w:val="{9ff63b00-7678-4a2a-b97d-50f60cb95cc3}"/>
      </w:docPartPr>
      <w:docPartBody>
        <w:p w14:paraId="30990688">
          <w:r>
            <w:rPr>
              <w:color w:val="808080"/>
            </w:rPr>
            <w:t>单击此处输入文字。</w:t>
          </w:r>
        </w:p>
      </w:docPartBody>
    </w:docPart>
    <w:docPart>
      <w:docPartPr>
        <w:name w:val="{d50652b0-45d4-497d-b64e-f78ef38a4dc1}"/>
        <w:style w:val=""/>
        <w:category>
          <w:name w:val="常规"/>
          <w:gallery w:val="placeholder"/>
        </w:category>
        <w:types>
          <w:type w:val="bbPlcHdr"/>
        </w:types>
        <w:behaviors>
          <w:behavior w:val="content"/>
        </w:behaviors>
        <w:description w:val=""/>
        <w:guid w:val="{d50652b0-45d4-497d-b64e-f78ef38a4dc1}"/>
      </w:docPartPr>
      <w:docPartBody>
        <w:p w14:paraId="321DC76C">
          <w:r>
            <w:rPr>
              <w:color w:val="808080"/>
            </w:rPr>
            <w:t>单击此处输入文字。</w:t>
          </w:r>
        </w:p>
      </w:docPartBody>
    </w:docPart>
    <w:docPart>
      <w:docPartPr>
        <w:name w:val="{58f07aec-add1-40af-9e11-3276377f2003}"/>
        <w:style w:val=""/>
        <w:category>
          <w:name w:val="常规"/>
          <w:gallery w:val="placeholder"/>
        </w:category>
        <w:types>
          <w:type w:val="bbPlcHdr"/>
        </w:types>
        <w:behaviors>
          <w:behavior w:val="content"/>
        </w:behaviors>
        <w:description w:val=""/>
        <w:guid w:val="{58f07aec-add1-40af-9e11-3276377f2003}"/>
      </w:docPartPr>
      <w:docPartBody>
        <w:p w14:paraId="43720C1C">
          <w:r>
            <w:rPr>
              <w:color w:val="808080"/>
            </w:rPr>
            <w:t>单击此处输入文字。</w:t>
          </w:r>
        </w:p>
      </w:docPartBody>
    </w:docPart>
    <w:docPart>
      <w:docPartPr>
        <w:name w:val="{a6e83976-9308-4ae1-9f3b-c19c6e9e6501}"/>
        <w:style w:val=""/>
        <w:category>
          <w:name w:val="常规"/>
          <w:gallery w:val="placeholder"/>
        </w:category>
        <w:types>
          <w:type w:val="bbPlcHdr"/>
        </w:types>
        <w:behaviors>
          <w:behavior w:val="content"/>
        </w:behaviors>
        <w:description w:val=""/>
        <w:guid w:val="{a6e83976-9308-4ae1-9f3b-c19c6e9e6501}"/>
      </w:docPartPr>
      <w:docPartBody>
        <w:p w14:paraId="0A9455CA">
          <w:r>
            <w:rPr>
              <w:color w:val="808080"/>
            </w:rPr>
            <w:t>单击此处输入文字。</w:t>
          </w:r>
        </w:p>
      </w:docPartBody>
    </w:docPart>
    <w:docPart>
      <w:docPartPr>
        <w:name w:val="{f578906b-694b-49a7-9b0a-4691bbe631b5}"/>
        <w:style w:val=""/>
        <w:category>
          <w:name w:val="常规"/>
          <w:gallery w:val="placeholder"/>
        </w:category>
        <w:types>
          <w:type w:val="bbPlcHdr"/>
        </w:types>
        <w:behaviors>
          <w:behavior w:val="content"/>
        </w:behaviors>
        <w:description w:val=""/>
        <w:guid w:val="{f578906b-694b-49a7-9b0a-4691bbe631b5}"/>
      </w:docPartPr>
      <w:docPartBody>
        <w:p w14:paraId="4DDF2D74">
          <w:r>
            <w:rPr>
              <w:color w:val="808080"/>
            </w:rPr>
            <w:t>单击此处输入文字。</w:t>
          </w:r>
        </w:p>
      </w:docPartBody>
    </w:docPart>
    <w:docPart>
      <w:docPartPr>
        <w:name w:val="{c8fd4535-9436-4a6e-bb55-825e66dd2f42}"/>
        <w:style w:val=""/>
        <w:category>
          <w:name w:val="常规"/>
          <w:gallery w:val="placeholder"/>
        </w:category>
        <w:types>
          <w:type w:val="bbPlcHdr"/>
        </w:types>
        <w:behaviors>
          <w:behavior w:val="content"/>
        </w:behaviors>
        <w:description w:val=""/>
        <w:guid w:val="{c8fd4535-9436-4a6e-bb55-825e66dd2f42}"/>
      </w:docPartPr>
      <w:docPartBody>
        <w:p w14:paraId="796D9332">
          <w:r>
            <w:rPr>
              <w:color w:val="808080"/>
            </w:rPr>
            <w:t>单击此处输入文字。</w:t>
          </w:r>
        </w:p>
      </w:docPartBody>
    </w:docPart>
    <w:docPart>
      <w:docPartPr>
        <w:name w:val="{acda20ae-dbcb-4a86-aa6d-650d34d79913}"/>
        <w:style w:val=""/>
        <w:category>
          <w:name w:val="常规"/>
          <w:gallery w:val="placeholder"/>
        </w:category>
        <w:types>
          <w:type w:val="bbPlcHdr"/>
        </w:types>
        <w:behaviors>
          <w:behavior w:val="content"/>
        </w:behaviors>
        <w:description w:val=""/>
        <w:guid w:val="{acda20ae-dbcb-4a86-aa6d-650d34d79913}"/>
      </w:docPartPr>
      <w:docPartBody>
        <w:p w14:paraId="7CB1ECC8">
          <w:r>
            <w:rPr>
              <w:color w:val="808080"/>
            </w:rPr>
            <w:t>单击此处输入文字。</w:t>
          </w:r>
        </w:p>
      </w:docPartBody>
    </w:docPart>
    <w:docPart>
      <w:docPartPr>
        <w:name w:val="{be65da42-3e74-4141-aedc-710e339f421a}"/>
        <w:style w:val=""/>
        <w:category>
          <w:name w:val="常规"/>
          <w:gallery w:val="placeholder"/>
        </w:category>
        <w:types>
          <w:type w:val="bbPlcHdr"/>
        </w:types>
        <w:behaviors>
          <w:behavior w:val="content"/>
        </w:behaviors>
        <w:description w:val=""/>
        <w:guid w:val="{be65da42-3e74-4141-aedc-710e339f421a}"/>
      </w:docPartPr>
      <w:docPartBody>
        <w:p w14:paraId="0E7C28D3">
          <w:r>
            <w:rPr>
              <w:color w:val="808080"/>
            </w:rPr>
            <w:t>单击此处输入文字。</w:t>
          </w:r>
        </w:p>
      </w:docPartBody>
    </w:docPart>
    <w:docPart>
      <w:docPartPr>
        <w:name w:val="{f27f83b7-3fad-4013-8190-1ae466731093}"/>
        <w:style w:val=""/>
        <w:category>
          <w:name w:val="常规"/>
          <w:gallery w:val="placeholder"/>
        </w:category>
        <w:types>
          <w:type w:val="bbPlcHdr"/>
        </w:types>
        <w:behaviors>
          <w:behavior w:val="content"/>
        </w:behaviors>
        <w:description w:val=""/>
        <w:guid w:val="{f27f83b7-3fad-4013-8190-1ae466731093}"/>
      </w:docPartPr>
      <w:docPartBody>
        <w:p w14:paraId="5ABD4D18">
          <w:r>
            <w:rPr>
              <w:color w:val="808080"/>
            </w:rPr>
            <w:t>单击此处输入文字。</w:t>
          </w:r>
        </w:p>
      </w:docPartBody>
    </w:docPart>
    <w:docPart>
      <w:docPartPr>
        <w:name w:val="{25519988-387f-43c3-8aac-f68ffc230970}"/>
        <w:style w:val=""/>
        <w:category>
          <w:name w:val="常规"/>
          <w:gallery w:val="placeholder"/>
        </w:category>
        <w:types>
          <w:type w:val="bbPlcHdr"/>
        </w:types>
        <w:behaviors>
          <w:behavior w:val="content"/>
        </w:behaviors>
        <w:description w:val=""/>
        <w:guid w:val="{25519988-387f-43c3-8aac-f68ffc230970}"/>
      </w:docPartPr>
      <w:docPartBody>
        <w:p w14:paraId="20107066">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WZ</Company>
  <Pages>18</Pages>
  <Words>7763</Words>
  <Characters>8213</Characters>
  <Lines>76</Lines>
  <Paragraphs>21</Paragraphs>
  <TotalTime>61</TotalTime>
  <ScaleCrop>false</ScaleCrop>
  <LinksUpToDate>false</LinksUpToDate>
  <CharactersWithSpaces>8308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2023-04-17T21:48:00Z</dcterms:created>
  <dc:creator>admin</dc:creator>
  <cp:lastModifiedBy>Erin.</cp:lastModifiedBy>
  <cp:lastPrinted>2023-06-09T00:20:00Z</cp:lastPrinted>
  <dcterms:modified xsi:type="dcterms:W3CDTF">2025-10-17T02:57:55Z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AAB0EF6B6F9F4440A0737359B743934D</vt:lpwstr>
  </property>
  <property fmtid="{D5CDD505-2E9C-101B-9397-08002B2CF9AE}" pid="4" name="KSOTemplateDocerSaveRecord">
    <vt:lpwstr>eyJoZGlkIjoiYjg1OTcxM2NiOGU0NGZjZDM4YzIwYjJhNTJiM2E0N2IiLCJ1c2VySWQiOiIxNzM0NDUwMDc4In0=</vt:lpwstr>
  </property>
</Properties>
</file>