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021D9">
      <w:pPr>
        <w:ind w:firstLine="0" w:firstLineChars="0"/>
        <w:jc w:val="center"/>
        <w:rPr>
          <w:rFonts w:eastAsia="方正小标宋简体" w:cs="Times New Roman"/>
          <w:sz w:val="44"/>
          <w:szCs w:val="44"/>
        </w:rPr>
      </w:pPr>
      <w:bookmarkStart w:id="0" w:name="报告名称2B"/>
      <w:bookmarkStart w:id="1" w:name="OLE_LINK13"/>
      <w:bookmarkStart w:id="2" w:name="OLE_LINK14"/>
      <w:r>
        <w:rPr>
          <w:rFonts w:eastAsia="方正小标宋简体" w:cs="Times New Roman"/>
          <w:sz w:val="44"/>
          <w:szCs w:val="44"/>
        </w:rPr>
        <w:t>吴中</w:t>
      </w:r>
      <w:r>
        <w:rPr>
          <w:rFonts w:hint="eastAsia" w:eastAsia="方正小标宋简体" w:cs="Times New Roman"/>
          <w:sz w:val="44"/>
          <w:szCs w:val="44"/>
        </w:rPr>
        <w:t>郭巷亚东工业（苏州）</w:t>
      </w:r>
      <w:r>
        <w:rPr>
          <w:rFonts w:eastAsia="方正小标宋简体" w:cs="Times New Roman"/>
          <w:sz w:val="44"/>
          <w:szCs w:val="44"/>
        </w:rPr>
        <w:t>有限公司</w:t>
      </w:r>
    </w:p>
    <w:p w14:paraId="689696B1">
      <w:pPr>
        <w:ind w:firstLine="0" w:firstLineChars="0"/>
        <w:jc w:val="center"/>
        <w:rPr>
          <w:rFonts w:eastAsia="方正小标宋简体" w:cs="Times New Roman"/>
          <w:sz w:val="44"/>
          <w:szCs w:val="44"/>
        </w:rPr>
      </w:pPr>
      <w:r>
        <w:rPr>
          <w:rFonts w:eastAsia="方正小标宋简体" w:cs="Times New Roman"/>
          <w:sz w:val="44"/>
          <w:szCs w:val="44"/>
        </w:rPr>
        <w:t>“</w:t>
      </w:r>
      <w:r>
        <w:rPr>
          <w:rFonts w:hint="eastAsia" w:eastAsia="方正小标宋简体" w:cs="Times New Roman"/>
          <w:sz w:val="44"/>
          <w:szCs w:val="44"/>
        </w:rPr>
        <w:t>6</w:t>
      </w:r>
      <w:r>
        <w:rPr>
          <w:rFonts w:eastAsia="宋体" w:cs="Times New Roman"/>
          <w:sz w:val="44"/>
          <w:szCs w:val="44"/>
        </w:rPr>
        <w:t>•</w:t>
      </w:r>
      <w:r>
        <w:rPr>
          <w:rFonts w:eastAsia="方正小标宋简体" w:cs="Times New Roman"/>
          <w:sz w:val="44"/>
          <w:szCs w:val="44"/>
        </w:rPr>
        <w:t>1</w:t>
      </w:r>
      <w:r>
        <w:rPr>
          <w:rFonts w:hint="eastAsia" w:eastAsia="方正小标宋简体" w:cs="Times New Roman"/>
          <w:sz w:val="44"/>
          <w:szCs w:val="44"/>
        </w:rPr>
        <w:t>1</w:t>
      </w:r>
      <w:r>
        <w:rPr>
          <w:rFonts w:eastAsia="方正小标宋简体" w:cs="Times New Roman"/>
          <w:sz w:val="44"/>
          <w:szCs w:val="44"/>
        </w:rPr>
        <w:t>”一般</w:t>
      </w:r>
      <w:bookmarkEnd w:id="0"/>
      <w:bookmarkStart w:id="3" w:name="_Toc32693"/>
      <w:r>
        <w:rPr>
          <w:rFonts w:hint="eastAsia" w:eastAsia="方正小标宋简体" w:cs="Times New Roman"/>
          <w:sz w:val="44"/>
          <w:szCs w:val="44"/>
        </w:rPr>
        <w:t>机械伤害</w:t>
      </w:r>
      <w:r>
        <w:rPr>
          <w:rFonts w:eastAsia="方正小标宋简体" w:cs="Times New Roman"/>
          <w:sz w:val="44"/>
          <w:szCs w:val="44"/>
        </w:rPr>
        <w:t>事故调查报告</w:t>
      </w:r>
      <w:bookmarkEnd w:id="3"/>
    </w:p>
    <w:p w14:paraId="1A029403">
      <w:pPr>
        <w:ind w:firstLine="0" w:firstLineChars="0"/>
        <w:jc w:val="center"/>
        <w:rPr>
          <w:rFonts w:cs="Times New Roman"/>
          <w:szCs w:val="32"/>
        </w:rPr>
      </w:pPr>
    </w:p>
    <w:p w14:paraId="663CFD5A">
      <w:pPr>
        <w:ind w:firstLine="640"/>
        <w:rPr>
          <w:rFonts w:cs="Times New Roman"/>
        </w:rPr>
      </w:pPr>
      <w:bookmarkStart w:id="4" w:name="OLE_LINK1"/>
      <w:bookmarkStart w:id="5" w:name="OLE_LINK4"/>
      <w:bookmarkStart w:id="6" w:name="报告开篇"/>
      <w:r>
        <w:rPr>
          <w:rFonts w:cs="Times New Roman"/>
        </w:rPr>
        <w:t>2025年</w:t>
      </w:r>
      <w:r>
        <w:rPr>
          <w:rFonts w:hint="eastAsia" w:cs="Times New Roman"/>
        </w:rPr>
        <w:t>6</w:t>
      </w:r>
      <w:r>
        <w:rPr>
          <w:rFonts w:cs="Times New Roman"/>
        </w:rPr>
        <w:t>月</w:t>
      </w:r>
      <w:r>
        <w:rPr>
          <w:rFonts w:hint="eastAsia" w:cs="Times New Roman"/>
        </w:rPr>
        <w:t>11</w:t>
      </w:r>
      <w:r>
        <w:rPr>
          <w:rFonts w:cs="Times New Roman"/>
        </w:rPr>
        <w:t>日</w:t>
      </w:r>
      <w:r>
        <w:rPr>
          <w:rFonts w:hint="eastAsia" w:cs="Times New Roman"/>
        </w:rPr>
        <w:t>12</w:t>
      </w:r>
      <w:r>
        <w:rPr>
          <w:rFonts w:cs="Times New Roman"/>
        </w:rPr>
        <w:t>点</w:t>
      </w:r>
      <w:r>
        <w:rPr>
          <w:rFonts w:hint="eastAsia" w:cs="Times New Roman"/>
        </w:rPr>
        <w:t>25</w:t>
      </w:r>
      <w:r>
        <w:rPr>
          <w:rFonts w:cs="Times New Roman"/>
        </w:rPr>
        <w:t>分左右，位于吴中区</w:t>
      </w:r>
      <w:r>
        <w:rPr>
          <w:rFonts w:hint="eastAsia" w:cs="Times New Roman"/>
        </w:rPr>
        <w:t>郭巷街道尹中南路1688号</w:t>
      </w:r>
      <w:r>
        <w:rPr>
          <w:rFonts w:cs="Times New Roman"/>
        </w:rPr>
        <w:t>的</w:t>
      </w:r>
      <w:r>
        <w:rPr>
          <w:rFonts w:hint="eastAsia" w:cs="Times New Roman"/>
        </w:rPr>
        <w:t>亚东工业（苏州）</w:t>
      </w:r>
      <w:r>
        <w:rPr>
          <w:rFonts w:cs="Times New Roman"/>
        </w:rPr>
        <w:t>有限公司发生一起</w:t>
      </w:r>
      <w:r>
        <w:rPr>
          <w:rFonts w:hint="eastAsia" w:cs="Times New Roman"/>
        </w:rPr>
        <w:t>机械伤害</w:t>
      </w:r>
      <w:r>
        <w:rPr>
          <w:rFonts w:cs="Times New Roman"/>
        </w:rPr>
        <w:t>事故，造成1人死亡，直接经济损失</w:t>
      </w:r>
      <w:r>
        <w:rPr>
          <w:rFonts w:hint="eastAsia" w:cs="Times New Roman"/>
        </w:rPr>
        <w:t>186</w:t>
      </w:r>
      <w:r>
        <w:rPr>
          <w:rFonts w:cs="Times New Roman"/>
        </w:rPr>
        <w:t>万</w:t>
      </w:r>
      <w:r>
        <w:rPr>
          <w:rFonts w:hint="eastAsia" w:cs="Times New Roman"/>
        </w:rPr>
        <w:t>元</w:t>
      </w:r>
      <w:r>
        <w:rPr>
          <w:rFonts w:cs="Times New Roman"/>
        </w:rPr>
        <w:t>。</w:t>
      </w:r>
      <w:bookmarkEnd w:id="4"/>
      <w:bookmarkEnd w:id="5"/>
    </w:p>
    <w:p w14:paraId="6969EAF9">
      <w:pPr>
        <w:ind w:firstLine="640"/>
        <w:rPr>
          <w:rFonts w:cs="Times New Roman"/>
        </w:rPr>
      </w:pPr>
      <w:r>
        <w:rPr>
          <w:rFonts w:cs="Times New Roman"/>
          <w:szCs w:val="32"/>
        </w:rPr>
        <w:t>事故发生后，根据《中华人民共和国安全生产法》《生产安全事故报告和调查处理条例》（国务院令第493号）、《江苏省安全生产条例》</w:t>
      </w:r>
      <w:r>
        <w:rPr>
          <w:rFonts w:cs="Times New Roman"/>
          <w:bCs/>
          <w:szCs w:val="32"/>
        </w:rPr>
        <w:t>等</w:t>
      </w:r>
      <w:r>
        <w:rPr>
          <w:rFonts w:cs="Times New Roman"/>
          <w:szCs w:val="32"/>
        </w:rPr>
        <w:t>相关规定，</w:t>
      </w:r>
      <w:bookmarkStart w:id="7" w:name="OLE_LINK9"/>
      <w:bookmarkStart w:id="8" w:name="OLE_LINK10"/>
      <w:r>
        <w:rPr>
          <w:rFonts w:cs="Times New Roman"/>
          <w:szCs w:val="32"/>
        </w:rPr>
        <w:t>吴中区人民政府成立了吴中郭巷亚东工业（苏州）有限公司“6•11”一般机械伤害事故</w:t>
      </w:r>
      <w:r>
        <w:rPr>
          <w:rFonts w:cs="Times New Roman"/>
          <w:color w:val="000000"/>
          <w:szCs w:val="32"/>
        </w:rPr>
        <w:t>调查</w:t>
      </w:r>
      <w:r>
        <w:rPr>
          <w:rFonts w:cs="Times New Roman"/>
          <w:szCs w:val="32"/>
        </w:rPr>
        <w:t>组（以下简称事故调查组），事故调查组由区应急管理局、苏州市公安局吴中分局、区总工会、</w:t>
      </w:r>
      <w:r>
        <w:rPr>
          <w:rFonts w:hint="eastAsia" w:cs="Times New Roman"/>
          <w:szCs w:val="32"/>
        </w:rPr>
        <w:t>经开</w:t>
      </w:r>
      <w:r>
        <w:rPr>
          <w:rFonts w:cs="Times New Roman"/>
          <w:szCs w:val="32"/>
        </w:rPr>
        <w:t>区、</w:t>
      </w:r>
      <w:r>
        <w:rPr>
          <w:rFonts w:hint="eastAsia" w:cs="Times New Roman"/>
          <w:szCs w:val="32"/>
        </w:rPr>
        <w:t>化管办</w:t>
      </w:r>
      <w:r>
        <w:rPr>
          <w:rFonts w:cs="Times New Roman"/>
          <w:szCs w:val="32"/>
        </w:rPr>
        <w:t>等相关人员组成，同时邀请区纪委监委、区检察院派员参加对该起事故进行调查。</w:t>
      </w:r>
      <w:bookmarkEnd w:id="7"/>
      <w:bookmarkEnd w:id="8"/>
      <w:r>
        <w:rPr>
          <w:rFonts w:cs="Times New Roman"/>
          <w:szCs w:val="32"/>
        </w:rPr>
        <w:t>事故调查组通过现场勘察和调查取证，查明了事故发生经过和原因，认定了事故性质和责任，提出了事故防范措施，对事故责任者提出了处理建议。</w:t>
      </w:r>
      <w:r>
        <w:rPr>
          <w:rFonts w:cs="Times New Roman"/>
        </w:rPr>
        <w:t xml:space="preserve"> </w:t>
      </w:r>
    </w:p>
    <w:p w14:paraId="4548E977">
      <w:pPr>
        <w:ind w:firstLine="640"/>
        <w:rPr>
          <w:rFonts w:cs="Times New Roman"/>
        </w:rPr>
      </w:pPr>
      <w:r>
        <w:rPr>
          <w:rFonts w:cs="Times New Roman"/>
        </w:rPr>
        <w:t>经调查认定，</w:t>
      </w:r>
      <w:r>
        <w:rPr>
          <w:rFonts w:cs="Times New Roman"/>
          <w:szCs w:val="32"/>
        </w:rPr>
        <w:t>吴中郭巷亚东工业（苏州）有限公司“6•11”一般机械伤害事故</w:t>
      </w:r>
      <w:r>
        <w:rPr>
          <w:rFonts w:cs="Times New Roman"/>
        </w:rPr>
        <w:t>是一起生产安全责任事故。</w:t>
      </w:r>
      <w:bookmarkEnd w:id="6"/>
    </w:p>
    <w:p w14:paraId="044651E1">
      <w:pPr>
        <w:pStyle w:val="2"/>
        <w:keepNext w:val="0"/>
        <w:keepLines w:val="0"/>
        <w:ind w:firstLine="0" w:firstLineChars="0"/>
        <w:rPr>
          <w:rFonts w:ascii="Times New Roman" w:hAnsi="Times New Roman" w:cs="Times New Roman"/>
        </w:rPr>
      </w:pPr>
      <w:bookmarkStart w:id="9" w:name="_Toc256000000"/>
    </w:p>
    <w:p w14:paraId="6AB0343B">
      <w:pPr>
        <w:pStyle w:val="2"/>
        <w:keepNext w:val="0"/>
        <w:keepLines w:val="0"/>
        <w:ind w:firstLine="0" w:firstLineChars="0"/>
        <w:rPr>
          <w:rFonts w:ascii="Times New Roman" w:hAnsi="Times New Roman" w:cs="Times New Roman"/>
        </w:rPr>
      </w:pPr>
    </w:p>
    <w:p w14:paraId="61AD5F0E">
      <w:pPr>
        <w:pStyle w:val="2"/>
        <w:keepNext w:val="0"/>
        <w:keepLines w:val="0"/>
        <w:ind w:firstLine="0" w:firstLineChars="0"/>
        <w:rPr>
          <w:rFonts w:ascii="Times New Roman" w:hAnsi="Times New Roman" w:cs="Times New Roman"/>
        </w:rPr>
      </w:pPr>
    </w:p>
    <w:p w14:paraId="16616FCA">
      <w:pPr>
        <w:ind w:firstLine="640"/>
      </w:pPr>
    </w:p>
    <w:p w14:paraId="27CDAA06">
      <w:pPr>
        <w:pStyle w:val="2"/>
        <w:keepNext w:val="0"/>
        <w:keepLines w:val="0"/>
        <w:ind w:firstLine="640"/>
        <w:rPr>
          <w:rFonts w:ascii="Times New Roman" w:hAnsi="Times New Roman" w:cs="Times New Roman"/>
        </w:rPr>
      </w:pPr>
      <w:r>
        <w:rPr>
          <w:rFonts w:ascii="Times New Roman" w:hAnsi="Times New Roman" w:cs="Times New Roman"/>
        </w:rPr>
        <w:t>一、事故基本情况</w:t>
      </w:r>
      <w:bookmarkEnd w:id="9"/>
    </w:p>
    <w:p w14:paraId="49969628">
      <w:pPr>
        <w:pStyle w:val="3"/>
        <w:rPr>
          <w:rFonts w:ascii="Times New Roman" w:eastAsia="楷体_GB2312"/>
        </w:rPr>
      </w:pPr>
      <w:bookmarkStart w:id="10" w:name="_Toc256000001"/>
      <w:r>
        <w:rPr>
          <w:rFonts w:ascii="Times New Roman" w:eastAsia="楷体_GB2312"/>
        </w:rPr>
        <w:t>（一）事故发生单位概况</w:t>
      </w:r>
      <w:bookmarkEnd w:id="10"/>
    </w:p>
    <w:p w14:paraId="4A0C5CF9">
      <w:pPr>
        <w:pStyle w:val="8"/>
        <w:spacing w:after="0"/>
        <w:ind w:firstLine="640"/>
        <w:rPr>
          <w:rFonts w:ascii="Times New Roman" w:hAnsi="Times New Roman" w:eastAsia="仿宋_GB2312" w:cs="Times New Roman"/>
        </w:rPr>
      </w:pPr>
      <w:r>
        <w:rPr>
          <w:rFonts w:ascii="Times New Roman" w:hAnsi="Times New Roman" w:eastAsia="仿宋_GB2312" w:cs="Times New Roman"/>
        </w:rPr>
        <w:t>事故发生单位</w:t>
      </w:r>
    </w:p>
    <w:p w14:paraId="2653F47D">
      <w:pPr>
        <w:pStyle w:val="8"/>
        <w:spacing w:after="0"/>
        <w:ind w:firstLine="640"/>
        <w:rPr>
          <w:rFonts w:ascii="Times New Roman" w:hAnsi="Times New Roman" w:eastAsia="仿宋_GB2312" w:cs="Times New Roman"/>
        </w:rPr>
      </w:pPr>
      <w:r>
        <w:rPr>
          <w:rFonts w:ascii="Times New Roman" w:hAnsi="Times New Roman" w:eastAsia="仿宋_GB2312" w:cs="Times New Roman"/>
        </w:rPr>
        <w:t>单位名称：亚东工业（苏州）有限公司（以下简称：</w:t>
      </w:r>
      <w:r>
        <w:rPr>
          <w:rFonts w:hint="eastAsia" w:ascii="Times New Roman" w:hAnsi="Times New Roman" w:eastAsia="仿宋_GB2312" w:cs="Times New Roman"/>
        </w:rPr>
        <w:t>亚东</w:t>
      </w:r>
      <w:r>
        <w:rPr>
          <w:rFonts w:ascii="Times New Roman" w:hAnsi="Times New Roman" w:eastAsia="仿宋_GB2312" w:cs="Times New Roman"/>
        </w:rPr>
        <w:t>公司）</w:t>
      </w:r>
    </w:p>
    <w:p w14:paraId="69475EA8">
      <w:pPr>
        <w:pStyle w:val="8"/>
        <w:spacing w:after="0"/>
        <w:ind w:firstLine="640"/>
        <w:rPr>
          <w:rFonts w:ascii="Times New Roman" w:hAnsi="Times New Roman" w:eastAsia="仿宋_GB2312" w:cs="Times New Roman"/>
        </w:rPr>
      </w:pPr>
      <w:r>
        <w:rPr>
          <w:rFonts w:ascii="Times New Roman" w:hAnsi="Times New Roman" w:eastAsia="仿宋_GB2312" w:cs="Times New Roman"/>
        </w:rPr>
        <w:t>统一社会信用代码：91320000773771798R</w:t>
      </w:r>
    </w:p>
    <w:p w14:paraId="7F234F45">
      <w:pPr>
        <w:pStyle w:val="8"/>
        <w:spacing w:after="0"/>
        <w:ind w:firstLine="640"/>
        <w:rPr>
          <w:rFonts w:ascii="Times New Roman" w:hAnsi="Times New Roman" w:eastAsia="仿宋_GB2312" w:cs="Times New Roman"/>
        </w:rPr>
      </w:pPr>
      <w:r>
        <w:rPr>
          <w:rFonts w:ascii="Times New Roman" w:hAnsi="Times New Roman" w:eastAsia="仿宋_GB2312" w:cs="Times New Roman"/>
        </w:rPr>
        <w:t>法定代表人：</w:t>
      </w:r>
      <w:r>
        <w:fldChar w:fldCharType="begin"/>
      </w:r>
      <w:r>
        <w:instrText xml:space="preserve"> HYPERLINK "https://www.tianyancha.com/human/1849941523-c2349742631" \t "https://www.tianyancha.com/company/_blank" </w:instrText>
      </w:r>
      <w:r>
        <w:fldChar w:fldCharType="separate"/>
      </w:r>
      <w:r>
        <w:rPr>
          <w:rFonts w:ascii="Times New Roman" w:hAnsi="Times New Roman" w:eastAsia="仿宋_GB2312" w:cs="Times New Roman"/>
        </w:rPr>
        <w:t>吴</w:t>
      </w:r>
      <w:r>
        <w:rPr>
          <w:rFonts w:hint="eastAsia" w:eastAsia="仿宋_GB2312"/>
          <w:sz w:val="32"/>
          <w:szCs w:val="32"/>
          <w:lang w:eastAsia="zh-CN"/>
        </w:rPr>
        <w:t>某</w:t>
      </w:r>
      <w:r>
        <w:rPr>
          <w:rFonts w:ascii="Times New Roman" w:hAnsi="Times New Roman" w:eastAsia="仿宋_GB2312" w:cs="Times New Roman"/>
        </w:rPr>
        <w:fldChar w:fldCharType="end"/>
      </w:r>
      <w:r>
        <w:rPr>
          <w:rFonts w:hint="eastAsia" w:eastAsia="仿宋_GB2312"/>
          <w:sz w:val="32"/>
          <w:szCs w:val="32"/>
          <w:lang w:eastAsia="zh-CN"/>
        </w:rPr>
        <w:t>某</w:t>
      </w:r>
    </w:p>
    <w:p w14:paraId="6CB419F6">
      <w:pPr>
        <w:pStyle w:val="8"/>
        <w:spacing w:after="0"/>
        <w:ind w:firstLine="640"/>
        <w:rPr>
          <w:rFonts w:ascii="Times New Roman" w:hAnsi="Times New Roman" w:eastAsia="仿宋_GB2312" w:cs="Times New Roman"/>
        </w:rPr>
      </w:pPr>
      <w:r>
        <w:rPr>
          <w:rFonts w:ascii="Times New Roman" w:hAnsi="Times New Roman" w:eastAsia="仿宋_GB2312" w:cs="Times New Roman"/>
        </w:rPr>
        <w:t>注册资本：140095.5</w:t>
      </w:r>
      <w:r>
        <w:rPr>
          <w:rFonts w:hint="eastAsia" w:ascii="Times New Roman" w:hAnsi="Times New Roman" w:eastAsia="仿宋_GB2312" w:cs="Times New Roman"/>
          <w:lang w:eastAsia="zh-CN"/>
        </w:rPr>
        <w:t>万元人民币</w:t>
      </w:r>
    </w:p>
    <w:p w14:paraId="692029BE">
      <w:pPr>
        <w:pStyle w:val="8"/>
        <w:spacing w:after="0"/>
        <w:ind w:firstLine="640"/>
        <w:rPr>
          <w:rFonts w:ascii="Times New Roman" w:hAnsi="Times New Roman" w:eastAsia="仿宋_GB2312" w:cs="Times New Roman"/>
        </w:rPr>
      </w:pPr>
      <w:r>
        <w:rPr>
          <w:rFonts w:ascii="Times New Roman" w:hAnsi="Times New Roman" w:eastAsia="仿宋_GB2312" w:cs="Times New Roman"/>
        </w:rPr>
        <w:t>住所：苏州吴中经济开发区尹中南路1688号</w:t>
      </w:r>
    </w:p>
    <w:p w14:paraId="7A54872C">
      <w:pPr>
        <w:pStyle w:val="8"/>
        <w:spacing w:after="0"/>
        <w:ind w:firstLine="640"/>
        <w:rPr>
          <w:rFonts w:ascii="Times New Roman" w:hAnsi="Times New Roman" w:eastAsia="仿宋_GB2312" w:cs="Times New Roman"/>
        </w:rPr>
      </w:pPr>
      <w:r>
        <w:rPr>
          <w:rFonts w:ascii="Times New Roman" w:hAnsi="Times New Roman" w:eastAsia="仿宋_GB2312" w:cs="Times New Roman"/>
        </w:rPr>
        <w:t>经营范围：采用非织造、机织、针织及其复合工艺技术的轻质、高强、耐高/低温、耐化学物质、耐光等多功能化的产业用纺织品生产，销售公司自产产品；从事自产产品同类商品及上下游产品（国家限制类及危险品除外）切片类、乙二醇、精对苯二甲酸、间苯二甲酸、纱类、布类及其它纺织品、橡胶制品、塑胶制品的批发、佣金代理（拍卖除外），上述商品和技术的进出口并提供技术咨询服务和售后服务，太阳能光伏发电。一般项目：面料纺织加工；针纺织品及原料销售；服装辅料销售；染料销售；太阳能热发电产品销售；技术服务、技术开发、技术咨询、技术交流、技术转让、技术推广；国内贸易代理；特种劳动防护用品销售；针纺织品销售；产业用纺织制成品生产；产业用纺织制成品销售；货物进出口；技术进出口</w:t>
      </w:r>
      <w:r>
        <w:rPr>
          <w:rFonts w:hint="eastAsia" w:ascii="Times New Roman" w:hAnsi="Times New Roman" w:eastAsia="仿宋_GB2312" w:cs="Times New Roman"/>
        </w:rPr>
        <w:t>。</w:t>
      </w:r>
      <w:r>
        <w:rPr>
          <w:rFonts w:ascii="Times New Roman" w:hAnsi="Times New Roman" w:eastAsia="仿宋_GB2312" w:cs="Times New Roman"/>
        </w:rPr>
        <w:t>（除依法须经批准的项目外，凭营业执照依法自主开展经营活动）</w:t>
      </w:r>
    </w:p>
    <w:p w14:paraId="23A9CC15">
      <w:pPr>
        <w:pStyle w:val="3"/>
        <w:rPr>
          <w:rFonts w:ascii="Times New Roman" w:eastAsia="楷体_GB2312"/>
        </w:rPr>
      </w:pPr>
      <w:bookmarkStart w:id="11" w:name="_Toc256000003"/>
      <w:r>
        <w:rPr>
          <w:rFonts w:ascii="Times New Roman" w:eastAsia="楷体_GB2312"/>
        </w:rPr>
        <w:t>（</w:t>
      </w:r>
      <w:r>
        <w:rPr>
          <w:rFonts w:hint="eastAsia" w:ascii="Times New Roman" w:eastAsia="楷体_GB2312"/>
        </w:rPr>
        <w:t>二</w:t>
      </w:r>
      <w:r>
        <w:rPr>
          <w:rFonts w:ascii="Times New Roman" w:eastAsia="楷体_GB2312"/>
        </w:rPr>
        <w:t>）企业安全管理情况</w:t>
      </w:r>
      <w:bookmarkEnd w:id="11"/>
    </w:p>
    <w:p w14:paraId="2A606F55">
      <w:pPr>
        <w:ind w:firstLine="640"/>
        <w:rPr>
          <w:rFonts w:cs="Times New Roman"/>
        </w:rPr>
      </w:pPr>
      <w:bookmarkStart w:id="12" w:name="_Toc256000004"/>
      <w:r>
        <w:rPr>
          <w:rFonts w:cs="Times New Roman"/>
        </w:rPr>
        <w:t>亚东工业（苏州）有限公司有营业执照，</w:t>
      </w:r>
      <w:r>
        <w:rPr>
          <w:rFonts w:hint="eastAsia" w:cs="Times New Roman"/>
        </w:rPr>
        <w:t>有设置安全管理机构并配备专职安全管理人员，有制定ATGDIP生产作业标准，有制定生产作业指导书，有安全会议记录，有安全检查记录，与从业人员签订了劳动合同，有</w:t>
      </w:r>
      <w:r>
        <w:rPr>
          <w:rFonts w:hint="eastAsia" w:ascii="仿宋_GB2312" w:hAnsi="宋体" w:cs="仿宋_GB2312"/>
          <w:color w:val="000000"/>
          <w:szCs w:val="32"/>
        </w:rPr>
        <w:t>安全生产教育和培训档案，记录了安全生产教育和培训的时间、内容、参加人员以及考核结果等情况，但</w:t>
      </w:r>
      <w:r>
        <w:rPr>
          <w:rFonts w:hint="eastAsia" w:cs="Times New Roman"/>
          <w:szCs w:val="32"/>
        </w:rPr>
        <w:t>未见机械伤害和作业指导书的培训记录，</w:t>
      </w:r>
      <w:r>
        <w:rPr>
          <w:rFonts w:hint="eastAsia" w:ascii="仿宋_GB2312" w:hAnsi="宋体" w:cs="仿宋_GB2312"/>
          <w:color w:val="000000"/>
          <w:szCs w:val="32"/>
        </w:rPr>
        <w:t>有与员工签订安全生产目标责任书，但未全员签订，作业现场应急处置措施设置不合理，未在作业区域内设置明显的安全操作规程和安全警示标志，未及时发现作业人员违章作业行为，现场安全监督检查不力，企业安全生产主体责任落实不到位</w:t>
      </w:r>
      <w:r>
        <w:rPr>
          <w:rFonts w:cs="Times New Roman"/>
        </w:rPr>
        <w:t>。</w:t>
      </w:r>
    </w:p>
    <w:bookmarkEnd w:id="12"/>
    <w:p w14:paraId="2734C1B3">
      <w:pPr>
        <w:pStyle w:val="3"/>
        <w:rPr>
          <w:rFonts w:ascii="Times New Roman" w:eastAsia="楷体_GB2312"/>
        </w:rPr>
      </w:pPr>
      <w:bookmarkStart w:id="13" w:name="_Toc256000006"/>
      <w:r>
        <w:rPr>
          <w:rFonts w:ascii="Times New Roman" w:eastAsia="楷体_GB2312"/>
        </w:rPr>
        <w:t>（</w:t>
      </w:r>
      <w:r>
        <w:rPr>
          <w:rFonts w:hint="eastAsia" w:ascii="Times New Roman" w:eastAsia="楷体_GB2312"/>
        </w:rPr>
        <w:t>三</w:t>
      </w:r>
      <w:r>
        <w:rPr>
          <w:rFonts w:ascii="Times New Roman" w:eastAsia="楷体_GB2312"/>
        </w:rPr>
        <w:t>）事故现场情况</w:t>
      </w:r>
      <w:bookmarkEnd w:id="13"/>
    </w:p>
    <w:p w14:paraId="2A534D36">
      <w:pPr>
        <w:tabs>
          <w:tab w:val="left" w:pos="3052"/>
        </w:tabs>
        <w:ind w:firstLine="640"/>
        <w:rPr>
          <w:rFonts w:cs="Times New Roman"/>
          <w:szCs w:val="32"/>
        </w:rPr>
      </w:pPr>
      <w:r>
        <w:rPr>
          <w:rFonts w:cs="Times New Roman"/>
          <w:color w:val="000000" w:themeColor="text1"/>
          <w:szCs w:val="32"/>
        </w:rPr>
        <w:t>事发发生在亚东工业（苏州）有限公司ATG浸胶车间2号产线（图1、图2），</w:t>
      </w:r>
      <w:r>
        <w:rPr>
          <w:rFonts w:cs="Times New Roman"/>
          <w:szCs w:val="32"/>
        </w:rPr>
        <w:t>事发设备为轮胎帘布浸胶生产线，型号CTC-6H-2D-V70（100）号3407301（图3、图4），于2010年由德国进口并安装投产。</w:t>
      </w:r>
    </w:p>
    <w:p w14:paraId="5ED5D84C">
      <w:pPr>
        <w:tabs>
          <w:tab w:val="left" w:pos="3052"/>
        </w:tabs>
        <w:spacing w:line="240" w:lineRule="auto"/>
        <w:ind w:firstLine="0" w:firstLineChars="0"/>
        <w:jc w:val="center"/>
      </w:pPr>
      <w:r>
        <w:drawing>
          <wp:inline distT="0" distB="0" distL="0" distR="0">
            <wp:extent cx="4693285" cy="3362325"/>
            <wp:effectExtent l="1905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2" cstate="print"/>
                    <a:srcRect/>
                    <a:stretch>
                      <a:fillRect/>
                    </a:stretch>
                  </pic:blipFill>
                  <pic:spPr>
                    <a:xfrm>
                      <a:off x="0" y="0"/>
                      <a:ext cx="4697434" cy="3365196"/>
                    </a:xfrm>
                    <a:prstGeom prst="rect">
                      <a:avLst/>
                    </a:prstGeom>
                    <a:noFill/>
                    <a:ln w="9525">
                      <a:noFill/>
                      <a:miter lim="800000"/>
                      <a:headEnd/>
                      <a:tailEnd/>
                    </a:ln>
                  </pic:spPr>
                </pic:pic>
              </a:graphicData>
            </a:graphic>
          </wp:inline>
        </w:drawing>
      </w:r>
    </w:p>
    <w:p w14:paraId="182B873C">
      <w:pPr>
        <w:spacing w:line="240" w:lineRule="auto"/>
        <w:ind w:firstLine="0" w:firstLineChars="0"/>
        <w:jc w:val="center"/>
        <w:rPr>
          <w:b/>
        </w:rPr>
      </w:pPr>
      <w:r>
        <w:rPr>
          <w:rFonts w:hint="eastAsia" w:ascii="仿宋_GB2312"/>
          <w:sz w:val="28"/>
          <w:szCs w:val="28"/>
        </w:rPr>
        <w:t>图</w:t>
      </w:r>
      <w:r>
        <w:rPr>
          <w:rFonts w:cs="Times New Roman"/>
          <w:sz w:val="28"/>
          <w:szCs w:val="28"/>
        </w:rPr>
        <w:t>1</w:t>
      </w:r>
      <w:r>
        <w:rPr>
          <w:rFonts w:ascii="仿宋_GB2312"/>
          <w:sz w:val="28"/>
          <w:szCs w:val="28"/>
        </w:rPr>
        <w:t xml:space="preserve">  事故车间位置</w:t>
      </w:r>
    </w:p>
    <w:p w14:paraId="3178055E">
      <w:pPr>
        <w:tabs>
          <w:tab w:val="left" w:pos="3052"/>
        </w:tabs>
        <w:spacing w:line="240" w:lineRule="auto"/>
        <w:ind w:firstLine="0" w:firstLineChars="0"/>
        <w:jc w:val="center"/>
      </w:pPr>
      <w:r>
        <w:drawing>
          <wp:inline distT="0" distB="0" distL="0" distR="0">
            <wp:extent cx="3238500" cy="3686175"/>
            <wp:effectExtent l="1905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3" cstate="print"/>
                    <a:srcRect/>
                    <a:stretch>
                      <a:fillRect/>
                    </a:stretch>
                  </pic:blipFill>
                  <pic:spPr>
                    <a:xfrm>
                      <a:off x="0" y="0"/>
                      <a:ext cx="3238500" cy="3686175"/>
                    </a:xfrm>
                    <a:prstGeom prst="rect">
                      <a:avLst/>
                    </a:prstGeom>
                    <a:noFill/>
                    <a:ln w="9525">
                      <a:noFill/>
                      <a:miter lim="800000"/>
                      <a:headEnd/>
                      <a:tailEnd/>
                    </a:ln>
                  </pic:spPr>
                </pic:pic>
              </a:graphicData>
            </a:graphic>
          </wp:inline>
        </w:drawing>
      </w:r>
    </w:p>
    <w:p w14:paraId="593EB999">
      <w:pPr>
        <w:tabs>
          <w:tab w:val="left" w:pos="3052"/>
        </w:tabs>
        <w:spacing w:line="240" w:lineRule="auto"/>
        <w:ind w:firstLine="560"/>
        <w:jc w:val="center"/>
      </w:pPr>
      <w:r>
        <w:rPr>
          <w:rFonts w:cs="Times New Roman"/>
          <w:bCs/>
          <w:sz w:val="28"/>
          <w:szCs w:val="28"/>
        </w:rPr>
        <w:t>图2</w:t>
      </w:r>
      <w:r>
        <w:rPr>
          <w:rFonts w:hint="eastAsia" w:cs="Times New Roman"/>
          <w:bCs/>
          <w:sz w:val="28"/>
          <w:szCs w:val="28"/>
        </w:rPr>
        <w:t xml:space="preserve"> </w:t>
      </w:r>
      <w:r>
        <w:rPr>
          <w:rFonts w:cs="Times New Roman"/>
          <w:bCs/>
          <w:sz w:val="28"/>
          <w:szCs w:val="28"/>
        </w:rPr>
        <w:t xml:space="preserve"> 2</w:t>
      </w:r>
      <w:r>
        <w:rPr>
          <w:rFonts w:hint="eastAsia" w:ascii="仿宋_GB2312"/>
          <w:bCs/>
          <w:sz w:val="28"/>
          <w:szCs w:val="28"/>
        </w:rPr>
        <w:t>浴浸胶站车间内位置示意图</w:t>
      </w:r>
    </w:p>
    <w:p w14:paraId="6D3F99C2">
      <w:pPr>
        <w:tabs>
          <w:tab w:val="left" w:pos="3052"/>
        </w:tabs>
        <w:spacing w:line="240" w:lineRule="auto"/>
        <w:ind w:firstLine="0" w:firstLineChars="0"/>
        <w:jc w:val="center"/>
        <w:rPr>
          <w:rFonts w:ascii="仿宋_GB2312"/>
          <w:sz w:val="28"/>
          <w:szCs w:val="28"/>
        </w:rPr>
      </w:pPr>
      <w:r>
        <w:rPr>
          <w:rFonts w:ascii="仿宋_GB2312"/>
          <w:sz w:val="28"/>
          <w:szCs w:val="28"/>
        </w:rPr>
        <w:drawing>
          <wp:inline distT="0" distB="0" distL="0" distR="0">
            <wp:extent cx="5143500" cy="3429000"/>
            <wp:effectExtent l="19050" t="0" r="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r:embed="rId14" cstate="print"/>
                    <a:srcRect/>
                    <a:stretch>
                      <a:fillRect/>
                    </a:stretch>
                  </pic:blipFill>
                  <pic:spPr>
                    <a:xfrm>
                      <a:off x="0" y="0"/>
                      <a:ext cx="5143500" cy="3429000"/>
                    </a:xfrm>
                    <a:prstGeom prst="rect">
                      <a:avLst/>
                    </a:prstGeom>
                    <a:noFill/>
                    <a:ln w="9525">
                      <a:noFill/>
                      <a:miter lim="800000"/>
                      <a:headEnd/>
                      <a:tailEnd/>
                    </a:ln>
                  </pic:spPr>
                </pic:pic>
              </a:graphicData>
            </a:graphic>
          </wp:inline>
        </w:drawing>
      </w:r>
    </w:p>
    <w:p w14:paraId="698D2647">
      <w:pPr>
        <w:tabs>
          <w:tab w:val="left" w:pos="3052"/>
        </w:tabs>
        <w:spacing w:line="240" w:lineRule="auto"/>
        <w:ind w:firstLine="0" w:firstLineChars="0"/>
        <w:jc w:val="center"/>
        <w:rPr>
          <w:rFonts w:cs="Times New Roman"/>
          <w:sz w:val="28"/>
          <w:szCs w:val="28"/>
        </w:rPr>
      </w:pPr>
      <w:r>
        <w:rPr>
          <w:rFonts w:cs="Times New Roman"/>
          <w:sz w:val="28"/>
          <w:szCs w:val="28"/>
        </w:rPr>
        <w:t>图3 ATG浸胶车间西侧2号产线浸胶机平面示意图</w:t>
      </w:r>
    </w:p>
    <w:p w14:paraId="46D565A2">
      <w:pPr>
        <w:tabs>
          <w:tab w:val="left" w:pos="3052"/>
        </w:tabs>
        <w:spacing w:line="240" w:lineRule="auto"/>
        <w:ind w:firstLine="0" w:firstLineChars="0"/>
        <w:jc w:val="center"/>
      </w:pPr>
      <w:r>
        <w:drawing>
          <wp:inline distT="0" distB="0" distL="0" distR="0">
            <wp:extent cx="4863465" cy="3381375"/>
            <wp:effectExtent l="19050" t="0" r="0" b="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noChangeArrowheads="1"/>
                    </pic:cNvPicPr>
                  </pic:nvPicPr>
                  <pic:blipFill>
                    <a:blip r:embed="rId15" cstate="print"/>
                    <a:srcRect/>
                    <a:stretch>
                      <a:fillRect/>
                    </a:stretch>
                  </pic:blipFill>
                  <pic:spPr>
                    <a:xfrm>
                      <a:off x="0" y="0"/>
                      <a:ext cx="4867275" cy="3383815"/>
                    </a:xfrm>
                    <a:prstGeom prst="rect">
                      <a:avLst/>
                    </a:prstGeom>
                    <a:noFill/>
                    <a:ln w="9525">
                      <a:noFill/>
                      <a:miter lim="800000"/>
                      <a:headEnd/>
                      <a:tailEnd/>
                    </a:ln>
                  </pic:spPr>
                </pic:pic>
              </a:graphicData>
            </a:graphic>
          </wp:inline>
        </w:drawing>
      </w:r>
    </w:p>
    <w:p w14:paraId="10C08B4B">
      <w:pPr>
        <w:ind w:firstLine="0" w:firstLineChars="0"/>
        <w:jc w:val="center"/>
        <w:rPr>
          <w:rFonts w:cs="Times New Roman"/>
          <w:sz w:val="28"/>
          <w:szCs w:val="28"/>
        </w:rPr>
      </w:pPr>
      <w:r>
        <w:rPr>
          <w:rFonts w:cs="Times New Roman"/>
          <w:sz w:val="28"/>
          <w:szCs w:val="28"/>
        </w:rPr>
        <w:t xml:space="preserve">图4 </w:t>
      </w:r>
      <w:r>
        <w:rPr>
          <w:rFonts w:hint="eastAsia" w:cs="Times New Roman"/>
          <w:sz w:val="28"/>
          <w:szCs w:val="28"/>
        </w:rPr>
        <w:t xml:space="preserve"> </w:t>
      </w:r>
      <w:r>
        <w:rPr>
          <w:rFonts w:cs="Times New Roman"/>
          <w:sz w:val="28"/>
          <w:szCs w:val="28"/>
        </w:rPr>
        <w:t>ATG浸胶车间西侧</w:t>
      </w:r>
      <w:bookmarkStart w:id="14" w:name="OLE_LINK2"/>
      <w:bookmarkStart w:id="15" w:name="OLE_LINK3"/>
      <w:r>
        <w:rPr>
          <w:rFonts w:cs="Times New Roman"/>
          <w:sz w:val="28"/>
          <w:szCs w:val="28"/>
        </w:rPr>
        <w:t>2号产线</w:t>
      </w:r>
      <w:bookmarkEnd w:id="14"/>
      <w:bookmarkEnd w:id="15"/>
      <w:r>
        <w:rPr>
          <w:rFonts w:cs="Times New Roman"/>
          <w:sz w:val="28"/>
          <w:szCs w:val="28"/>
        </w:rPr>
        <w:t>现场图</w:t>
      </w:r>
    </w:p>
    <w:p w14:paraId="08095350">
      <w:pPr>
        <w:ind w:firstLine="640"/>
        <w:rPr>
          <w:rFonts w:cs="Times New Roman"/>
          <w:szCs w:val="32"/>
        </w:rPr>
      </w:pPr>
      <w:bookmarkStart w:id="16" w:name="OLE_LINK6"/>
      <w:bookmarkStart w:id="17" w:name="OLE_LINK5"/>
      <w:r>
        <w:rPr>
          <w:rFonts w:cs="Times New Roman"/>
          <w:szCs w:val="32"/>
        </w:rPr>
        <w:t>2号产线</w:t>
      </w:r>
      <w:bookmarkEnd w:id="16"/>
      <w:bookmarkEnd w:id="17"/>
      <w:r>
        <w:rPr>
          <w:rFonts w:cs="Times New Roman"/>
          <w:szCs w:val="32"/>
        </w:rPr>
        <w:t>技术数据如下：线速度</w:t>
      </w:r>
      <w:r>
        <w:rPr>
          <w:rFonts w:hint="eastAsia" w:cs="Times New Roman"/>
          <w:szCs w:val="32"/>
          <w:lang w:eastAsia="zh-CN"/>
        </w:rPr>
        <w:t>：</w:t>
      </w:r>
      <w:r>
        <w:rPr>
          <w:rFonts w:cs="Times New Roman"/>
          <w:szCs w:val="32"/>
        </w:rPr>
        <w:t>70</w:t>
      </w:r>
      <w:bookmarkStart w:id="18" w:name="OLE_LINK7"/>
      <w:bookmarkStart w:id="19" w:name="OLE_LINK8"/>
      <w:r>
        <w:rPr>
          <w:rFonts w:cs="Times New Roman"/>
          <w:szCs w:val="32"/>
        </w:rPr>
        <w:t>m/min</w:t>
      </w:r>
      <w:bookmarkEnd w:id="18"/>
      <w:bookmarkEnd w:id="19"/>
      <w:r>
        <w:rPr>
          <w:rFonts w:cs="Times New Roman"/>
          <w:szCs w:val="32"/>
        </w:rPr>
        <w:t>（降低张力时为100m/min）</w:t>
      </w:r>
      <w:r>
        <w:rPr>
          <w:rFonts w:hint="eastAsia" w:cs="Times New Roman"/>
          <w:szCs w:val="32"/>
        </w:rPr>
        <w:t>，</w:t>
      </w:r>
      <w:r>
        <w:rPr>
          <w:rFonts w:cs="Times New Roman"/>
          <w:szCs w:val="32"/>
        </w:rPr>
        <w:t>点动速度</w:t>
      </w:r>
      <w:r>
        <w:rPr>
          <w:rFonts w:hint="eastAsia" w:cs="Times New Roman"/>
          <w:szCs w:val="32"/>
          <w:lang w:eastAsia="zh-CN"/>
        </w:rPr>
        <w:t>：</w:t>
      </w:r>
      <w:r>
        <w:rPr>
          <w:rFonts w:cs="Times New Roman"/>
          <w:szCs w:val="32"/>
        </w:rPr>
        <w:t>7m/min</w:t>
      </w:r>
      <w:r>
        <w:rPr>
          <w:rFonts w:hint="eastAsia" w:cs="Times New Roman"/>
          <w:szCs w:val="32"/>
        </w:rPr>
        <w:t>，</w:t>
      </w:r>
      <w:r>
        <w:rPr>
          <w:rFonts w:cs="Times New Roman"/>
          <w:szCs w:val="32"/>
        </w:rPr>
        <w:t>最大送经速度</w:t>
      </w:r>
      <w:r>
        <w:rPr>
          <w:rFonts w:hint="eastAsia" w:cs="Times New Roman"/>
          <w:szCs w:val="32"/>
          <w:lang w:eastAsia="zh-CN"/>
        </w:rPr>
        <w:t>：</w:t>
      </w:r>
      <w:r>
        <w:rPr>
          <w:rFonts w:cs="Times New Roman"/>
          <w:szCs w:val="32"/>
        </w:rPr>
        <w:t>7–105m/min</w:t>
      </w:r>
      <w:r>
        <w:rPr>
          <w:rFonts w:hint="eastAsia" w:cs="Times New Roman"/>
          <w:szCs w:val="32"/>
        </w:rPr>
        <w:t>，</w:t>
      </w:r>
      <w:r>
        <w:rPr>
          <w:rFonts w:cs="Times New Roman"/>
          <w:szCs w:val="32"/>
        </w:rPr>
        <w:t>最大卷绕速度</w:t>
      </w:r>
      <w:r>
        <w:rPr>
          <w:rFonts w:hint="eastAsia" w:cs="Times New Roman"/>
          <w:szCs w:val="32"/>
          <w:lang w:eastAsia="zh-CN"/>
        </w:rPr>
        <w:t>：</w:t>
      </w:r>
      <w:r>
        <w:rPr>
          <w:rFonts w:cs="Times New Roman"/>
          <w:szCs w:val="32"/>
        </w:rPr>
        <w:t>7–105m/min</w:t>
      </w:r>
      <w:r>
        <w:rPr>
          <w:rFonts w:hint="eastAsia" w:cs="Times New Roman"/>
          <w:szCs w:val="32"/>
        </w:rPr>
        <w:t>，</w:t>
      </w:r>
      <w:r>
        <w:rPr>
          <w:rFonts w:cs="Times New Roman"/>
          <w:szCs w:val="32"/>
        </w:rPr>
        <w:t>最大织物宽度</w:t>
      </w:r>
      <w:r>
        <w:rPr>
          <w:rFonts w:hint="eastAsia" w:cs="Times New Roman"/>
          <w:szCs w:val="32"/>
          <w:lang w:eastAsia="zh-CN"/>
        </w:rPr>
        <w:t>：</w:t>
      </w:r>
      <w:r>
        <w:rPr>
          <w:rFonts w:cs="Times New Roman"/>
          <w:szCs w:val="32"/>
        </w:rPr>
        <w:t>1800mm</w:t>
      </w:r>
      <w:r>
        <w:rPr>
          <w:rFonts w:hint="eastAsia" w:cs="Times New Roman"/>
          <w:szCs w:val="32"/>
        </w:rPr>
        <w:t>，</w:t>
      </w:r>
      <w:r>
        <w:rPr>
          <w:rFonts w:cs="Times New Roman"/>
          <w:szCs w:val="32"/>
        </w:rPr>
        <w:t>最大织物卷直径</w:t>
      </w:r>
      <w:r>
        <w:rPr>
          <w:rFonts w:hint="eastAsia" w:cs="Times New Roman"/>
          <w:szCs w:val="32"/>
          <w:lang w:eastAsia="zh-CN"/>
        </w:rPr>
        <w:t>：</w:t>
      </w:r>
      <w:r>
        <w:rPr>
          <w:rFonts w:cs="Times New Roman"/>
          <w:szCs w:val="32"/>
        </w:rPr>
        <w:t>1800mm</w:t>
      </w:r>
      <w:r>
        <w:rPr>
          <w:rFonts w:hint="eastAsia" w:cs="Times New Roman"/>
          <w:szCs w:val="32"/>
        </w:rPr>
        <w:t>，</w:t>
      </w:r>
      <w:r>
        <w:rPr>
          <w:rFonts w:cs="Times New Roman"/>
          <w:szCs w:val="32"/>
        </w:rPr>
        <w:t>最大织物卷重量</w:t>
      </w:r>
      <w:r>
        <w:rPr>
          <w:rFonts w:hint="eastAsia" w:cs="Times New Roman"/>
          <w:szCs w:val="32"/>
          <w:lang w:eastAsia="zh-CN"/>
        </w:rPr>
        <w:t>：</w:t>
      </w:r>
      <w:r>
        <w:rPr>
          <w:rFonts w:cs="Times New Roman"/>
          <w:szCs w:val="32"/>
        </w:rPr>
        <w:t>3000kg</w:t>
      </w:r>
      <w:r>
        <w:rPr>
          <w:rFonts w:hint="eastAsia" w:cs="Times New Roman"/>
          <w:szCs w:val="32"/>
        </w:rPr>
        <w:t>，</w:t>
      </w:r>
      <w:r>
        <w:rPr>
          <w:rFonts w:cs="Times New Roman"/>
          <w:szCs w:val="32"/>
        </w:rPr>
        <w:t>最小外壳直径</w:t>
      </w:r>
      <w:r>
        <w:rPr>
          <w:rFonts w:hint="eastAsia" w:cs="Times New Roman"/>
          <w:szCs w:val="32"/>
          <w:lang w:eastAsia="zh-CN"/>
        </w:rPr>
        <w:t>：</w:t>
      </w:r>
      <w:r>
        <w:rPr>
          <w:rFonts w:cs="Times New Roman"/>
          <w:szCs w:val="32"/>
        </w:rPr>
        <w:t>120mm</w:t>
      </w:r>
      <w:r>
        <w:rPr>
          <w:rFonts w:hint="eastAsia" w:cs="Times New Roman"/>
          <w:szCs w:val="32"/>
        </w:rPr>
        <w:t>，</w:t>
      </w:r>
      <w:r>
        <w:rPr>
          <w:rFonts w:cs="Times New Roman"/>
          <w:szCs w:val="32"/>
        </w:rPr>
        <w:t>最大外壳长度</w:t>
      </w:r>
      <w:r>
        <w:rPr>
          <w:rFonts w:hint="eastAsia" w:cs="Times New Roman"/>
          <w:szCs w:val="32"/>
          <w:lang w:eastAsia="zh-CN"/>
        </w:rPr>
        <w:t>：</w:t>
      </w:r>
      <w:r>
        <w:rPr>
          <w:rFonts w:cs="Times New Roman"/>
          <w:szCs w:val="32"/>
        </w:rPr>
        <w:t>2102mm</w:t>
      </w:r>
      <w:r>
        <w:rPr>
          <w:rFonts w:hint="eastAsia" w:cs="Times New Roman"/>
          <w:szCs w:val="32"/>
        </w:rPr>
        <w:t>。</w:t>
      </w:r>
    </w:p>
    <w:p w14:paraId="1ADBCC02">
      <w:pPr>
        <w:ind w:firstLine="640"/>
        <w:rPr>
          <w:rFonts w:cs="Times New Roman"/>
          <w:szCs w:val="32"/>
        </w:rPr>
      </w:pPr>
      <w:r>
        <w:rPr>
          <w:rFonts w:cs="Times New Roman"/>
          <w:szCs w:val="32"/>
        </w:rPr>
        <w:t>放卷架由结构钢部件焊接成框架单元，卡盘安装在该框架上。卡盘由气动关闭装置自动关闭。一个镀铬测量辊，带有称重传感器，可控制高达200daN 的放卷张力。在整个速度范围内提供恒定张力，并由</w:t>
      </w:r>
      <w:bookmarkStart w:id="20" w:name="OLE_LINK17"/>
      <w:bookmarkStart w:id="21" w:name="OLE_LINK18"/>
      <w:r>
        <w:rPr>
          <w:rFonts w:cs="Times New Roman"/>
          <w:szCs w:val="32"/>
        </w:rPr>
        <w:t>CORD TEC过程控制系统</w:t>
      </w:r>
      <w:bookmarkEnd w:id="20"/>
      <w:bookmarkEnd w:id="21"/>
      <w:r>
        <w:rPr>
          <w:rFonts w:cs="Times New Roman"/>
          <w:szCs w:val="32"/>
        </w:rPr>
        <w:t>进行控制（图5）。预设张力和实际张力在人机界面屏幕上进行监控（图6）。</w:t>
      </w:r>
    </w:p>
    <w:p w14:paraId="5238E9D5">
      <w:pPr>
        <w:spacing w:line="240" w:lineRule="auto"/>
        <w:ind w:firstLine="0" w:firstLineChars="0"/>
        <w:jc w:val="center"/>
        <w:rPr>
          <w:rFonts w:ascii="仿宋_GB2312"/>
          <w:szCs w:val="32"/>
        </w:rPr>
      </w:pPr>
      <w:r>
        <w:rPr>
          <w:rFonts w:ascii="仿宋_GB2312"/>
          <w:szCs w:val="32"/>
        </w:rPr>
        <w:drawing>
          <wp:inline distT="0" distB="0" distL="0" distR="0">
            <wp:extent cx="4981575" cy="3705225"/>
            <wp:effectExtent l="19050" t="0" r="9525"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noChangeArrowheads="1"/>
                    </pic:cNvPicPr>
                  </pic:nvPicPr>
                  <pic:blipFill>
                    <a:blip r:embed="rId16" cstate="print"/>
                    <a:srcRect/>
                    <a:stretch>
                      <a:fillRect/>
                    </a:stretch>
                  </pic:blipFill>
                  <pic:spPr>
                    <a:xfrm>
                      <a:off x="0" y="0"/>
                      <a:ext cx="4981575" cy="3705225"/>
                    </a:xfrm>
                    <a:prstGeom prst="rect">
                      <a:avLst/>
                    </a:prstGeom>
                    <a:noFill/>
                    <a:ln w="9525">
                      <a:noFill/>
                      <a:miter lim="800000"/>
                      <a:headEnd/>
                      <a:tailEnd/>
                    </a:ln>
                  </pic:spPr>
                </pic:pic>
              </a:graphicData>
            </a:graphic>
          </wp:inline>
        </w:drawing>
      </w:r>
    </w:p>
    <w:p w14:paraId="3B997008">
      <w:pPr>
        <w:ind w:firstLine="0" w:firstLineChars="0"/>
        <w:jc w:val="center"/>
        <w:rPr>
          <w:rFonts w:cs="Times New Roman"/>
          <w:sz w:val="28"/>
          <w:szCs w:val="28"/>
        </w:rPr>
      </w:pPr>
      <w:r>
        <w:rPr>
          <w:rFonts w:cs="Times New Roman"/>
          <w:sz w:val="28"/>
          <w:szCs w:val="28"/>
        </w:rPr>
        <w:t>图5</w:t>
      </w:r>
      <w:bookmarkStart w:id="22" w:name="OLE_LINK19"/>
      <w:r>
        <w:rPr>
          <w:rFonts w:cs="Times New Roman"/>
          <w:sz w:val="28"/>
          <w:szCs w:val="28"/>
        </w:rPr>
        <w:t xml:space="preserve"> 车间控制室CORD TEC过程控制系统</w:t>
      </w:r>
      <w:bookmarkEnd w:id="22"/>
    </w:p>
    <w:p w14:paraId="6308BE5D">
      <w:pPr>
        <w:spacing w:line="240" w:lineRule="auto"/>
        <w:ind w:firstLine="0" w:firstLineChars="0"/>
        <w:jc w:val="center"/>
        <w:rPr>
          <w:rFonts w:ascii="仿宋_GB2312"/>
          <w:bCs/>
          <w:sz w:val="28"/>
          <w:szCs w:val="28"/>
        </w:rPr>
      </w:pPr>
      <w:r>
        <w:rPr>
          <w:rFonts w:ascii="仿宋_GB2312"/>
          <w:bCs/>
          <w:sz w:val="28"/>
          <w:szCs w:val="28"/>
        </w:rPr>
        <w:drawing>
          <wp:inline distT="0" distB="0" distL="0" distR="0">
            <wp:extent cx="4724400" cy="3543300"/>
            <wp:effectExtent l="19050" t="0" r="0" b="0"/>
            <wp:docPr id="50" name="图片 50" descr="C:\Users\86186\Documents\WeChat Files\wxid_jpl8ij1t3lzg21\FileStorage\Temp\e0abd64ea49e2bbbf58bc8c9d7a37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Users\86186\Documents\WeChat Files\wxid_jpl8ij1t3lzg21\FileStorage\Temp\e0abd64ea49e2bbbf58bc8c9d7a372b.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724400" cy="3543300"/>
                    </a:xfrm>
                    <a:prstGeom prst="rect">
                      <a:avLst/>
                    </a:prstGeom>
                    <a:noFill/>
                    <a:ln>
                      <a:noFill/>
                    </a:ln>
                  </pic:spPr>
                </pic:pic>
              </a:graphicData>
            </a:graphic>
          </wp:inline>
        </w:drawing>
      </w:r>
    </w:p>
    <w:p w14:paraId="5B0E1098">
      <w:pPr>
        <w:ind w:firstLine="0" w:firstLineChars="0"/>
        <w:jc w:val="center"/>
        <w:rPr>
          <w:rFonts w:cs="Times New Roman"/>
          <w:bCs/>
          <w:sz w:val="28"/>
          <w:szCs w:val="28"/>
        </w:rPr>
      </w:pPr>
      <w:r>
        <w:rPr>
          <w:rFonts w:cs="Times New Roman"/>
          <w:bCs/>
          <w:sz w:val="28"/>
          <w:szCs w:val="28"/>
        </w:rPr>
        <w:t xml:space="preserve">图6 </w:t>
      </w:r>
      <w:r>
        <w:rPr>
          <w:rFonts w:cs="Times New Roman"/>
          <w:sz w:val="28"/>
          <w:szCs w:val="28"/>
        </w:rPr>
        <w:t>车间控制室CORD TEC过程控制系统控制面板</w:t>
      </w:r>
    </w:p>
    <w:p w14:paraId="169305E1">
      <w:pPr>
        <w:tabs>
          <w:tab w:val="left" w:pos="3052"/>
        </w:tabs>
        <w:spacing w:line="240" w:lineRule="auto"/>
        <w:ind w:firstLine="640"/>
        <w:rPr>
          <w:rFonts w:cs="Times New Roman"/>
          <w:sz w:val="28"/>
          <w:szCs w:val="28"/>
        </w:rPr>
      </w:pPr>
      <w:r>
        <w:rPr>
          <w:rFonts w:cs="Times New Roman"/>
          <w:szCs w:val="32"/>
        </w:rPr>
        <w:t>事故发生在2号产线2浴2米3平台张力站处（图7）。该张力站共有四个罗拉</w:t>
      </w:r>
      <w:r>
        <w:rPr>
          <w:rFonts w:hint="eastAsia" w:cs="Times New Roman"/>
          <w:szCs w:val="32"/>
        </w:rPr>
        <w:t>（辊轴，</w:t>
      </w:r>
      <w:r>
        <w:rPr>
          <w:rFonts w:cs="Times New Roman"/>
          <w:szCs w:val="32"/>
        </w:rPr>
        <w:t>图</w:t>
      </w:r>
      <w:r>
        <w:rPr>
          <w:rFonts w:hint="eastAsia" w:cs="Times New Roman"/>
          <w:szCs w:val="32"/>
        </w:rPr>
        <w:t>8）</w:t>
      </w:r>
      <w:r>
        <w:rPr>
          <w:rFonts w:cs="Times New Roman"/>
          <w:szCs w:val="32"/>
        </w:rPr>
        <w:t>，</w:t>
      </w:r>
      <w:r>
        <w:rPr>
          <w:rFonts w:hint="eastAsia" w:cs="Times New Roman"/>
          <w:szCs w:val="32"/>
          <w:lang w:eastAsia="zh-CN"/>
        </w:rPr>
        <w:t>呈</w:t>
      </w:r>
      <w:r>
        <w:rPr>
          <w:rFonts w:cs="Times New Roman"/>
          <w:szCs w:val="32"/>
        </w:rPr>
        <w:t>2*2形式，罗拉长2.23米，外侧罗拉间距0.1米，外侧上层罗拉缠绕有用于清洗的PVC水管（图</w:t>
      </w:r>
      <w:r>
        <w:rPr>
          <w:rFonts w:hint="eastAsia" w:cs="Times New Roman"/>
          <w:szCs w:val="32"/>
        </w:rPr>
        <w:t>9</w:t>
      </w:r>
      <w:r>
        <w:rPr>
          <w:rFonts w:cs="Times New Roman"/>
          <w:szCs w:val="32"/>
        </w:rPr>
        <w:t>-1）；张力站北侧设置有高1.5米的安全防护罩，防护罩边缘距离内侧上层罗拉1.2米（图</w:t>
      </w:r>
      <w:r>
        <w:rPr>
          <w:rFonts w:hint="eastAsia" w:cs="Times New Roman"/>
          <w:szCs w:val="32"/>
        </w:rPr>
        <w:t>9</w:t>
      </w:r>
      <w:r>
        <w:rPr>
          <w:rFonts w:cs="Times New Roman"/>
          <w:szCs w:val="32"/>
        </w:rPr>
        <w:t>-2），进门门口边上放置有用于清洗的铲子（图</w:t>
      </w:r>
      <w:r>
        <w:rPr>
          <w:rFonts w:hint="eastAsia" w:cs="Times New Roman"/>
          <w:szCs w:val="32"/>
        </w:rPr>
        <w:t>10</w:t>
      </w:r>
      <w:r>
        <w:rPr>
          <w:rFonts w:cs="Times New Roman"/>
          <w:szCs w:val="32"/>
        </w:rPr>
        <w:t>）；</w:t>
      </w:r>
      <w:r>
        <w:rPr>
          <w:rFonts w:cs="Times New Roman"/>
          <w:color w:val="000000"/>
          <w:szCs w:val="32"/>
        </w:rPr>
        <w:t>设备紧急停止按钮及拉绳设置在车间通往2米3平台的楼梯踏步的底部（图1</w:t>
      </w:r>
      <w:r>
        <w:rPr>
          <w:rFonts w:hint="eastAsia" w:cs="Times New Roman"/>
          <w:color w:val="000000"/>
          <w:szCs w:val="32"/>
        </w:rPr>
        <w:t>1</w:t>
      </w:r>
      <w:r>
        <w:rPr>
          <w:rFonts w:cs="Times New Roman"/>
          <w:color w:val="000000"/>
          <w:szCs w:val="32"/>
        </w:rPr>
        <w:t>）。</w:t>
      </w:r>
      <w:r>
        <w:rPr>
          <w:rFonts w:cs="Times New Roman"/>
          <w:szCs w:val="32"/>
        </w:rPr>
        <w:t>事发时，工人身体在防护罩上，双手被卷入上层两个罗拉中间。</w:t>
      </w:r>
    </w:p>
    <w:p w14:paraId="65535E76">
      <w:pPr>
        <w:spacing w:line="240" w:lineRule="auto"/>
        <w:ind w:firstLine="0" w:firstLineChars="0"/>
        <w:jc w:val="center"/>
        <w:rPr>
          <w:rFonts w:ascii="宋体" w:hAnsi="宋体" w:eastAsia="宋体"/>
          <w:sz w:val="28"/>
          <w:szCs w:val="28"/>
        </w:rPr>
      </w:pPr>
      <w:r>
        <w:rPr>
          <w:rFonts w:ascii="宋体" w:hAnsi="宋体" w:eastAsia="宋体"/>
          <w:sz w:val="28"/>
          <w:szCs w:val="28"/>
        </w:rPr>
        <w:drawing>
          <wp:inline distT="0" distB="0" distL="0" distR="0">
            <wp:extent cx="4779645" cy="3556000"/>
            <wp:effectExtent l="19050" t="0" r="1617" b="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noChangeArrowheads="1"/>
                    </pic:cNvPicPr>
                  </pic:nvPicPr>
                  <pic:blipFill>
                    <a:blip r:embed="rId18" cstate="print"/>
                    <a:srcRect/>
                    <a:stretch>
                      <a:fillRect/>
                    </a:stretch>
                  </pic:blipFill>
                  <pic:spPr>
                    <a:xfrm>
                      <a:off x="0" y="0"/>
                      <a:ext cx="4777828" cy="3554835"/>
                    </a:xfrm>
                    <a:prstGeom prst="rect">
                      <a:avLst/>
                    </a:prstGeom>
                    <a:noFill/>
                    <a:ln w="9525">
                      <a:noFill/>
                      <a:miter lim="800000"/>
                      <a:headEnd/>
                      <a:tailEnd/>
                    </a:ln>
                  </pic:spPr>
                </pic:pic>
              </a:graphicData>
            </a:graphic>
          </wp:inline>
        </w:drawing>
      </w:r>
    </w:p>
    <w:p w14:paraId="012CADBA">
      <w:pPr>
        <w:ind w:firstLine="0" w:firstLineChars="0"/>
        <w:jc w:val="center"/>
        <w:rPr>
          <w:rFonts w:cs="Times New Roman"/>
          <w:sz w:val="28"/>
          <w:szCs w:val="28"/>
        </w:rPr>
      </w:pPr>
      <w:r>
        <w:rPr>
          <w:rFonts w:cs="Times New Roman"/>
          <w:sz w:val="28"/>
          <w:szCs w:val="28"/>
        </w:rPr>
        <w:t>图7</w:t>
      </w:r>
      <w:r>
        <w:rPr>
          <w:rFonts w:hint="eastAsia" w:cs="Times New Roman"/>
          <w:sz w:val="28"/>
          <w:szCs w:val="28"/>
        </w:rPr>
        <w:t xml:space="preserve"> </w:t>
      </w:r>
      <w:r>
        <w:rPr>
          <w:rFonts w:cs="Times New Roman"/>
          <w:sz w:val="28"/>
          <w:szCs w:val="28"/>
        </w:rPr>
        <w:t>2号产线2浴浸胶站</w:t>
      </w:r>
    </w:p>
    <w:p w14:paraId="6B339F42">
      <w:pPr>
        <w:spacing w:line="240" w:lineRule="auto"/>
        <w:ind w:firstLine="0" w:firstLineChars="0"/>
        <w:jc w:val="center"/>
        <w:rPr>
          <w:rFonts w:cs="Times New Roman"/>
          <w:sz w:val="28"/>
          <w:szCs w:val="28"/>
        </w:rPr>
      </w:pPr>
      <w:r>
        <w:rPr>
          <w:rFonts w:cs="Times New Roman"/>
          <w:sz w:val="28"/>
          <w:szCs w:val="28"/>
        </w:rPr>
        <w:drawing>
          <wp:inline distT="0" distB="0" distL="0" distR="0">
            <wp:extent cx="3952875" cy="3571875"/>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9" cstate="print"/>
                    <a:srcRect/>
                    <a:stretch>
                      <a:fillRect/>
                    </a:stretch>
                  </pic:blipFill>
                  <pic:spPr>
                    <a:xfrm>
                      <a:off x="0" y="0"/>
                      <a:ext cx="3952875" cy="3571875"/>
                    </a:xfrm>
                    <a:prstGeom prst="rect">
                      <a:avLst/>
                    </a:prstGeom>
                    <a:noFill/>
                    <a:ln w="9525">
                      <a:noFill/>
                      <a:miter lim="800000"/>
                      <a:headEnd/>
                      <a:tailEnd/>
                    </a:ln>
                  </pic:spPr>
                </pic:pic>
              </a:graphicData>
            </a:graphic>
          </wp:inline>
        </w:drawing>
      </w:r>
    </w:p>
    <w:p w14:paraId="19A2201F">
      <w:pPr>
        <w:spacing w:line="240" w:lineRule="auto"/>
        <w:ind w:firstLine="0" w:firstLineChars="0"/>
        <w:jc w:val="center"/>
        <w:rPr>
          <w:rFonts w:cs="Times New Roman"/>
          <w:sz w:val="28"/>
          <w:szCs w:val="28"/>
        </w:rPr>
      </w:pPr>
      <w:r>
        <w:rPr>
          <w:rFonts w:cs="Times New Roman"/>
          <w:sz w:val="28"/>
          <w:szCs w:val="28"/>
        </w:rPr>
        <w:t>图</w:t>
      </w:r>
      <w:r>
        <w:rPr>
          <w:rFonts w:hint="eastAsia" w:cs="Times New Roman"/>
          <w:sz w:val="28"/>
          <w:szCs w:val="28"/>
        </w:rPr>
        <w:t>8 事发位置</w:t>
      </w:r>
    </w:p>
    <w:p w14:paraId="702C05D1">
      <w:pPr>
        <w:spacing w:line="240" w:lineRule="auto"/>
        <w:ind w:firstLine="0" w:firstLineChars="0"/>
        <w:jc w:val="center"/>
        <w:rPr>
          <w:rFonts w:ascii="宋体" w:hAnsi="宋体" w:eastAsia="宋体"/>
          <w:sz w:val="28"/>
          <w:szCs w:val="28"/>
        </w:rPr>
      </w:pPr>
      <w:r>
        <w:drawing>
          <wp:inline distT="0" distB="0" distL="114300" distR="114300">
            <wp:extent cx="4911725" cy="3515995"/>
            <wp:effectExtent l="1905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stretch>
                      <a:fillRect/>
                    </a:stretch>
                  </pic:blipFill>
                  <pic:spPr>
                    <a:xfrm>
                      <a:off x="0" y="0"/>
                      <a:ext cx="4910059" cy="3515073"/>
                    </a:xfrm>
                    <a:prstGeom prst="rect">
                      <a:avLst/>
                    </a:prstGeom>
                    <a:noFill/>
                    <a:ln>
                      <a:noFill/>
                    </a:ln>
                  </pic:spPr>
                </pic:pic>
              </a:graphicData>
            </a:graphic>
          </wp:inline>
        </w:drawing>
      </w:r>
    </w:p>
    <w:p w14:paraId="416AF6B0">
      <w:pPr>
        <w:ind w:firstLine="0" w:firstLineChars="0"/>
        <w:jc w:val="center"/>
        <w:rPr>
          <w:rFonts w:cs="Times New Roman"/>
          <w:sz w:val="28"/>
          <w:szCs w:val="28"/>
        </w:rPr>
      </w:pPr>
      <w:bookmarkStart w:id="23" w:name="OLE_LINK16"/>
      <w:r>
        <w:rPr>
          <w:rFonts w:cs="Times New Roman"/>
          <w:bCs/>
          <w:sz w:val="28"/>
          <w:szCs w:val="28"/>
        </w:rPr>
        <w:t>图</w:t>
      </w:r>
      <w:r>
        <w:rPr>
          <w:rFonts w:hint="eastAsia" w:cs="Times New Roman"/>
          <w:bCs/>
          <w:sz w:val="28"/>
          <w:szCs w:val="28"/>
        </w:rPr>
        <w:t>9</w:t>
      </w:r>
      <w:r>
        <w:rPr>
          <w:rFonts w:cs="Times New Roman"/>
          <w:bCs/>
          <w:sz w:val="28"/>
          <w:szCs w:val="28"/>
        </w:rPr>
        <w:t>-1 2浴涉事张力站设备参数</w:t>
      </w:r>
      <w:bookmarkEnd w:id="23"/>
    </w:p>
    <w:p w14:paraId="3ED31F83">
      <w:pPr>
        <w:spacing w:line="240" w:lineRule="auto"/>
        <w:ind w:firstLine="0" w:firstLineChars="0"/>
        <w:jc w:val="center"/>
      </w:pPr>
      <w:r>
        <w:drawing>
          <wp:inline distT="0" distB="0" distL="114300" distR="114300">
            <wp:extent cx="2464435" cy="3320415"/>
            <wp:effectExtent l="0" t="0" r="12065"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1" cstate="print"/>
                    <a:stretch>
                      <a:fillRect/>
                    </a:stretch>
                  </pic:blipFill>
                  <pic:spPr>
                    <a:xfrm>
                      <a:off x="0" y="0"/>
                      <a:ext cx="2464435" cy="3320415"/>
                    </a:xfrm>
                    <a:prstGeom prst="rect">
                      <a:avLst/>
                    </a:prstGeom>
                    <a:noFill/>
                    <a:ln>
                      <a:noFill/>
                    </a:ln>
                  </pic:spPr>
                </pic:pic>
              </a:graphicData>
            </a:graphic>
          </wp:inline>
        </w:drawing>
      </w:r>
      <w:r>
        <w:rPr>
          <w:rFonts w:hint="eastAsia"/>
        </w:rPr>
        <w:t xml:space="preserve">  </w:t>
      </w:r>
      <w:r>
        <w:drawing>
          <wp:inline distT="0" distB="0" distL="114300" distR="114300">
            <wp:extent cx="2454275" cy="3304540"/>
            <wp:effectExtent l="0" t="0" r="3175" b="1016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2" cstate="print"/>
                    <a:stretch>
                      <a:fillRect/>
                    </a:stretch>
                  </pic:blipFill>
                  <pic:spPr>
                    <a:xfrm>
                      <a:off x="0" y="0"/>
                      <a:ext cx="2454275" cy="3304540"/>
                    </a:xfrm>
                    <a:prstGeom prst="rect">
                      <a:avLst/>
                    </a:prstGeom>
                    <a:noFill/>
                    <a:ln>
                      <a:noFill/>
                    </a:ln>
                  </pic:spPr>
                </pic:pic>
              </a:graphicData>
            </a:graphic>
          </wp:inline>
        </w:drawing>
      </w:r>
    </w:p>
    <w:p w14:paraId="1E44FC53">
      <w:pPr>
        <w:ind w:firstLine="0" w:firstLineChars="0"/>
        <w:jc w:val="center"/>
        <w:rPr>
          <w:rFonts w:cs="Times New Roman"/>
          <w:bCs/>
          <w:sz w:val="28"/>
          <w:szCs w:val="28"/>
        </w:rPr>
      </w:pPr>
      <w:r>
        <w:rPr>
          <w:rFonts w:cs="Times New Roman"/>
          <w:bCs/>
          <w:sz w:val="28"/>
          <w:szCs w:val="28"/>
        </w:rPr>
        <w:t>图</w:t>
      </w:r>
      <w:r>
        <w:rPr>
          <w:rFonts w:hint="eastAsia" w:cs="Times New Roman"/>
          <w:bCs/>
          <w:sz w:val="28"/>
          <w:szCs w:val="28"/>
        </w:rPr>
        <w:t>9</w:t>
      </w:r>
      <w:r>
        <w:rPr>
          <w:rFonts w:cs="Times New Roman"/>
          <w:bCs/>
          <w:sz w:val="28"/>
          <w:szCs w:val="28"/>
        </w:rPr>
        <w:t>-2 2浴涉事张力站设备参数   图</w:t>
      </w:r>
      <w:r>
        <w:rPr>
          <w:rFonts w:hint="eastAsia" w:cs="Times New Roman"/>
          <w:bCs/>
          <w:sz w:val="28"/>
          <w:szCs w:val="28"/>
        </w:rPr>
        <w:t>10</w:t>
      </w:r>
      <w:r>
        <w:rPr>
          <w:rFonts w:cs="Times New Roman"/>
          <w:bCs/>
          <w:sz w:val="28"/>
          <w:szCs w:val="28"/>
        </w:rPr>
        <w:t xml:space="preserve"> 2浴浸胶站清洁小铲参数</w:t>
      </w:r>
    </w:p>
    <w:p w14:paraId="07ED9EE5">
      <w:pPr>
        <w:spacing w:line="240" w:lineRule="auto"/>
        <w:ind w:firstLine="0" w:firstLineChars="0"/>
        <w:jc w:val="center"/>
      </w:pPr>
      <w:r>
        <w:drawing>
          <wp:inline distT="0" distB="0" distL="114300" distR="114300">
            <wp:extent cx="4694555" cy="3486150"/>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3" cstate="print"/>
                    <a:stretch>
                      <a:fillRect/>
                    </a:stretch>
                  </pic:blipFill>
                  <pic:spPr>
                    <a:xfrm>
                      <a:off x="0" y="0"/>
                      <a:ext cx="4696629" cy="3487270"/>
                    </a:xfrm>
                    <a:prstGeom prst="rect">
                      <a:avLst/>
                    </a:prstGeom>
                    <a:noFill/>
                    <a:ln>
                      <a:noFill/>
                    </a:ln>
                  </pic:spPr>
                </pic:pic>
              </a:graphicData>
            </a:graphic>
          </wp:inline>
        </w:drawing>
      </w:r>
    </w:p>
    <w:p w14:paraId="70C92D51">
      <w:pPr>
        <w:ind w:firstLine="560"/>
        <w:jc w:val="center"/>
        <w:rPr>
          <w:rFonts w:cs="Times New Roman"/>
        </w:rPr>
      </w:pPr>
      <w:r>
        <w:rPr>
          <w:rFonts w:cs="Times New Roman"/>
          <w:bCs/>
          <w:sz w:val="28"/>
          <w:szCs w:val="28"/>
        </w:rPr>
        <w:t>图1</w:t>
      </w:r>
      <w:r>
        <w:rPr>
          <w:rFonts w:hint="eastAsia" w:cs="Times New Roman"/>
          <w:bCs/>
          <w:sz w:val="28"/>
          <w:szCs w:val="28"/>
        </w:rPr>
        <w:t>1</w:t>
      </w:r>
      <w:r>
        <w:rPr>
          <w:rFonts w:cs="Times New Roman"/>
          <w:bCs/>
          <w:sz w:val="28"/>
          <w:szCs w:val="28"/>
        </w:rPr>
        <w:t xml:space="preserve"> 2号产线急停按钮及拉绳</w:t>
      </w:r>
    </w:p>
    <w:p w14:paraId="4560A2B2">
      <w:pPr>
        <w:pStyle w:val="3"/>
        <w:rPr>
          <w:rFonts w:ascii="Times New Roman" w:eastAsia="楷体_GB2312"/>
        </w:rPr>
      </w:pPr>
      <w:bookmarkStart w:id="24" w:name="_Toc256000005"/>
      <w:r>
        <w:rPr>
          <w:rFonts w:ascii="Times New Roman" w:eastAsia="楷体_GB2312"/>
        </w:rPr>
        <w:t>（</w:t>
      </w:r>
      <w:r>
        <w:rPr>
          <w:rFonts w:hint="eastAsia" w:ascii="Times New Roman" w:eastAsia="楷体_GB2312"/>
        </w:rPr>
        <w:t>四</w:t>
      </w:r>
      <w:r>
        <w:rPr>
          <w:rFonts w:ascii="Times New Roman" w:eastAsia="楷体_GB2312"/>
        </w:rPr>
        <w:t>）事故发生经过</w:t>
      </w:r>
      <w:bookmarkEnd w:id="24"/>
      <w:r>
        <w:rPr>
          <w:rFonts w:ascii="Times New Roman" w:eastAsia="楷体_GB2312"/>
        </w:rPr>
        <w:t>和应急救援情况</w:t>
      </w:r>
    </w:p>
    <w:p w14:paraId="35088B7E">
      <w:pPr>
        <w:pStyle w:val="8"/>
        <w:spacing w:after="0"/>
        <w:ind w:firstLine="640"/>
        <w:rPr>
          <w:rFonts w:ascii="Times New Roman" w:hAnsi="Times New Roman" w:eastAsia="仿宋_GB2312" w:cs="Times New Roman"/>
        </w:rPr>
      </w:pPr>
      <w:r>
        <w:rPr>
          <w:rFonts w:ascii="Times New Roman" w:hAnsi="Times New Roman" w:eastAsia="仿宋_GB2312" w:cs="Times New Roman"/>
        </w:rPr>
        <w:t>2025年</w:t>
      </w:r>
      <w:r>
        <w:rPr>
          <w:rFonts w:hint="eastAsia" w:ascii="Times New Roman" w:hAnsi="Times New Roman" w:eastAsia="仿宋_GB2312" w:cs="Times New Roman"/>
        </w:rPr>
        <w:t>6</w:t>
      </w:r>
      <w:r>
        <w:rPr>
          <w:rFonts w:ascii="Times New Roman" w:hAnsi="Times New Roman" w:eastAsia="仿宋_GB2312" w:cs="Times New Roman"/>
        </w:rPr>
        <w:t>月</w:t>
      </w:r>
      <w:r>
        <w:rPr>
          <w:rFonts w:hint="eastAsia" w:ascii="Times New Roman" w:hAnsi="Times New Roman" w:eastAsia="仿宋_GB2312" w:cs="Times New Roman"/>
        </w:rPr>
        <w:t>11</w:t>
      </w:r>
      <w:r>
        <w:rPr>
          <w:rFonts w:ascii="Times New Roman" w:hAnsi="Times New Roman" w:eastAsia="仿宋_GB2312" w:cs="Times New Roman"/>
        </w:rPr>
        <w:t>日</w:t>
      </w:r>
      <w:r>
        <w:rPr>
          <w:rFonts w:hint="eastAsia" w:ascii="Times New Roman" w:hAnsi="Times New Roman" w:eastAsia="仿宋_GB2312" w:cs="Times New Roman"/>
        </w:rPr>
        <w:t>12</w:t>
      </w:r>
      <w:r>
        <w:rPr>
          <w:rFonts w:ascii="Times New Roman" w:hAnsi="Times New Roman" w:eastAsia="仿宋_GB2312" w:cs="Times New Roman"/>
        </w:rPr>
        <w:t>点左右，</w:t>
      </w:r>
      <w:bookmarkStart w:id="25" w:name="_Toc256000007"/>
      <w:r>
        <w:rPr>
          <w:rFonts w:hint="eastAsia" w:ascii="Times New Roman" w:hAnsi="Times New Roman" w:eastAsia="仿宋_GB2312" w:cs="Times New Roman"/>
        </w:rPr>
        <w:t>宋</w:t>
      </w:r>
      <w:r>
        <w:rPr>
          <w:rFonts w:hint="eastAsia" w:eastAsia="仿宋_GB2312"/>
          <w:sz w:val="32"/>
          <w:szCs w:val="32"/>
          <w:lang w:eastAsia="zh-CN"/>
        </w:rPr>
        <w:t>某</w:t>
      </w:r>
      <w:r>
        <w:rPr>
          <w:rFonts w:hint="eastAsia" w:ascii="Times New Roman" w:hAnsi="Times New Roman" w:eastAsia="仿宋_GB2312" w:cs="Times New Roman"/>
        </w:rPr>
        <w:t>新和李</w:t>
      </w:r>
      <w:r>
        <w:rPr>
          <w:rFonts w:hint="eastAsia" w:eastAsia="仿宋_GB2312"/>
          <w:sz w:val="32"/>
          <w:szCs w:val="32"/>
          <w:lang w:eastAsia="zh-CN"/>
        </w:rPr>
        <w:t>某</w:t>
      </w:r>
      <w:r>
        <w:rPr>
          <w:rFonts w:hint="eastAsia" w:ascii="Times New Roman" w:hAnsi="Times New Roman" w:eastAsia="仿宋_GB2312" w:cs="Times New Roman"/>
        </w:rPr>
        <w:t>（男，27岁，云南玉溪人）在二线操控室，宋</w:t>
      </w:r>
      <w:r>
        <w:rPr>
          <w:rFonts w:hint="eastAsia" w:eastAsia="仿宋_GB2312"/>
          <w:sz w:val="32"/>
          <w:szCs w:val="32"/>
          <w:lang w:eastAsia="zh-CN"/>
        </w:rPr>
        <w:t>某</w:t>
      </w:r>
      <w:r>
        <w:rPr>
          <w:rFonts w:hint="eastAsia" w:ascii="Times New Roman" w:hAnsi="Times New Roman" w:eastAsia="仿宋_GB2312" w:cs="Times New Roman"/>
        </w:rPr>
        <w:t>江在设备南侧导开做缝头作业，赵</w:t>
      </w:r>
      <w:r>
        <w:rPr>
          <w:rFonts w:hint="eastAsia" w:eastAsia="仿宋_GB2312"/>
          <w:sz w:val="32"/>
          <w:szCs w:val="32"/>
          <w:lang w:eastAsia="zh-CN"/>
        </w:rPr>
        <w:t>某</w:t>
      </w:r>
      <w:r>
        <w:rPr>
          <w:rFonts w:hint="eastAsia" w:ascii="Times New Roman" w:hAnsi="Times New Roman" w:eastAsia="仿宋_GB2312" w:cs="Times New Roman"/>
        </w:rPr>
        <w:t>超、岳</w:t>
      </w:r>
      <w:r>
        <w:rPr>
          <w:rFonts w:hint="eastAsia" w:eastAsia="仿宋_GB2312"/>
          <w:sz w:val="32"/>
          <w:szCs w:val="32"/>
          <w:lang w:eastAsia="zh-CN"/>
        </w:rPr>
        <w:t>某</w:t>
      </w:r>
      <w:r>
        <w:rPr>
          <w:rFonts w:hint="eastAsia" w:ascii="Times New Roman" w:hAnsi="Times New Roman" w:eastAsia="仿宋_GB2312" w:cs="Times New Roman"/>
        </w:rPr>
        <w:t>号和徐</w:t>
      </w:r>
      <w:r>
        <w:rPr>
          <w:rFonts w:hint="eastAsia" w:eastAsia="仿宋_GB2312"/>
          <w:sz w:val="32"/>
          <w:szCs w:val="32"/>
          <w:lang w:eastAsia="zh-CN"/>
        </w:rPr>
        <w:t>某</w:t>
      </w:r>
      <w:r>
        <w:rPr>
          <w:rFonts w:hint="eastAsia" w:ascii="Times New Roman" w:hAnsi="Times New Roman" w:eastAsia="仿宋_GB2312" w:cs="Times New Roman"/>
        </w:rPr>
        <w:t>春三人在设备北侧卷曲做包装准备工作。宋</w:t>
      </w:r>
      <w:r>
        <w:rPr>
          <w:rFonts w:hint="eastAsia" w:eastAsia="仿宋_GB2312"/>
          <w:sz w:val="32"/>
          <w:szCs w:val="32"/>
          <w:lang w:eastAsia="zh-CN"/>
        </w:rPr>
        <w:t>某</w:t>
      </w:r>
      <w:r>
        <w:rPr>
          <w:rFonts w:hint="eastAsia" w:ascii="Times New Roman" w:hAnsi="Times New Roman" w:eastAsia="仿宋_GB2312" w:cs="Times New Roman"/>
        </w:rPr>
        <w:t>新操作控制按钮启动了二线的ATG浸胶机，此时设备的运行速度大约是10米/分钟，李</w:t>
      </w:r>
      <w:r>
        <w:rPr>
          <w:rFonts w:hint="eastAsia" w:eastAsia="仿宋_GB2312"/>
          <w:sz w:val="32"/>
          <w:szCs w:val="32"/>
          <w:lang w:eastAsia="zh-CN"/>
        </w:rPr>
        <w:t>某</w:t>
      </w:r>
      <w:r>
        <w:rPr>
          <w:rFonts w:hint="eastAsia" w:ascii="Times New Roman" w:hAnsi="Times New Roman" w:eastAsia="仿宋_GB2312" w:cs="Times New Roman"/>
        </w:rPr>
        <w:t>询问宋</w:t>
      </w:r>
      <w:r>
        <w:rPr>
          <w:rFonts w:hint="eastAsia" w:eastAsia="仿宋_GB2312"/>
          <w:sz w:val="32"/>
          <w:szCs w:val="32"/>
          <w:lang w:eastAsia="zh-CN"/>
        </w:rPr>
        <w:t>某</w:t>
      </w:r>
      <w:r>
        <w:rPr>
          <w:rFonts w:hint="eastAsia" w:ascii="Times New Roman" w:hAnsi="Times New Roman" w:eastAsia="仿宋_GB2312" w:cs="Times New Roman"/>
        </w:rPr>
        <w:t>新是否可以放胶了，宋</w:t>
      </w:r>
      <w:r>
        <w:rPr>
          <w:rFonts w:hint="eastAsia" w:eastAsia="仿宋_GB2312"/>
          <w:sz w:val="32"/>
          <w:szCs w:val="32"/>
          <w:lang w:eastAsia="zh-CN"/>
        </w:rPr>
        <w:t>某</w:t>
      </w:r>
      <w:r>
        <w:rPr>
          <w:rFonts w:hint="eastAsia" w:ascii="Times New Roman" w:hAnsi="Times New Roman" w:eastAsia="仿宋_GB2312" w:cs="Times New Roman"/>
        </w:rPr>
        <w:t>新说可以了，李</w:t>
      </w:r>
      <w:r>
        <w:rPr>
          <w:rFonts w:hint="eastAsia" w:eastAsia="仿宋_GB2312"/>
          <w:sz w:val="32"/>
          <w:szCs w:val="32"/>
          <w:lang w:eastAsia="zh-CN"/>
        </w:rPr>
        <w:t>某</w:t>
      </w:r>
      <w:r>
        <w:rPr>
          <w:rFonts w:hint="eastAsia" w:ascii="Times New Roman" w:hAnsi="Times New Roman" w:eastAsia="仿宋_GB2312" w:cs="Times New Roman"/>
        </w:rPr>
        <w:t>点开了设备放胶的电子阀，然后去了设备2浴。过了一会，李</w:t>
      </w:r>
      <w:r>
        <w:rPr>
          <w:rFonts w:hint="eastAsia" w:eastAsia="仿宋_GB2312"/>
          <w:sz w:val="32"/>
          <w:szCs w:val="32"/>
          <w:lang w:eastAsia="zh-CN"/>
        </w:rPr>
        <w:t>某</w:t>
      </w:r>
      <w:r>
        <w:rPr>
          <w:rFonts w:hint="eastAsia" w:ascii="Times New Roman" w:hAnsi="Times New Roman" w:eastAsia="仿宋_GB2312" w:cs="Times New Roman"/>
        </w:rPr>
        <w:t>又回到操控室和宋</w:t>
      </w:r>
      <w:r>
        <w:rPr>
          <w:rFonts w:hint="eastAsia" w:eastAsia="仿宋_GB2312"/>
          <w:sz w:val="32"/>
          <w:szCs w:val="32"/>
          <w:lang w:eastAsia="zh-CN"/>
        </w:rPr>
        <w:t>某</w:t>
      </w:r>
      <w:r>
        <w:rPr>
          <w:rFonts w:hint="eastAsia" w:ascii="Times New Roman" w:hAnsi="Times New Roman" w:eastAsia="仿宋_GB2312" w:cs="Times New Roman"/>
        </w:rPr>
        <w:t>新确认了放胶的电子阀是否开启并再次和宋</w:t>
      </w:r>
      <w:r>
        <w:rPr>
          <w:rFonts w:hint="eastAsia" w:eastAsia="仿宋_GB2312"/>
          <w:sz w:val="32"/>
          <w:szCs w:val="32"/>
          <w:lang w:eastAsia="zh-CN"/>
        </w:rPr>
        <w:t>某</w:t>
      </w:r>
      <w:r>
        <w:rPr>
          <w:rFonts w:hint="eastAsia" w:ascii="Times New Roman" w:hAnsi="Times New Roman" w:eastAsia="仿宋_GB2312" w:cs="Times New Roman"/>
        </w:rPr>
        <w:t>新确认是否可以放胶，宋</w:t>
      </w:r>
      <w:r>
        <w:rPr>
          <w:rFonts w:hint="eastAsia" w:eastAsia="仿宋_GB2312"/>
          <w:sz w:val="32"/>
          <w:szCs w:val="32"/>
          <w:lang w:eastAsia="zh-CN"/>
        </w:rPr>
        <w:t>某</w:t>
      </w:r>
      <w:r>
        <w:rPr>
          <w:rFonts w:hint="eastAsia" w:ascii="Times New Roman" w:hAnsi="Times New Roman" w:eastAsia="仿宋_GB2312" w:cs="Times New Roman"/>
        </w:rPr>
        <w:t>新说可以放胶，李</w:t>
      </w:r>
      <w:r>
        <w:rPr>
          <w:rFonts w:hint="eastAsia" w:eastAsia="仿宋_GB2312"/>
          <w:sz w:val="32"/>
          <w:szCs w:val="32"/>
          <w:lang w:eastAsia="zh-CN"/>
        </w:rPr>
        <w:t>某</w:t>
      </w:r>
      <w:r>
        <w:rPr>
          <w:rFonts w:hint="eastAsia" w:ascii="Times New Roman" w:hAnsi="Times New Roman" w:eastAsia="仿宋_GB2312" w:cs="Times New Roman"/>
        </w:rPr>
        <w:t>再次离开去2浴放胶，宋</w:t>
      </w:r>
      <w:r>
        <w:rPr>
          <w:rFonts w:hint="eastAsia" w:eastAsia="仿宋_GB2312"/>
          <w:sz w:val="32"/>
          <w:szCs w:val="32"/>
          <w:lang w:eastAsia="zh-CN"/>
        </w:rPr>
        <w:t>某</w:t>
      </w:r>
      <w:r>
        <w:rPr>
          <w:rFonts w:hint="eastAsia" w:ascii="Times New Roman" w:hAnsi="Times New Roman" w:eastAsia="仿宋_GB2312" w:cs="Times New Roman"/>
        </w:rPr>
        <w:t>新开好设备也离开了操控室去设备南侧和宋</w:t>
      </w:r>
      <w:r>
        <w:rPr>
          <w:rFonts w:hint="eastAsia" w:eastAsia="仿宋_GB2312"/>
          <w:sz w:val="32"/>
          <w:szCs w:val="32"/>
          <w:lang w:eastAsia="zh-CN"/>
        </w:rPr>
        <w:t>某</w:t>
      </w:r>
      <w:r>
        <w:rPr>
          <w:rFonts w:hint="eastAsia" w:ascii="Times New Roman" w:hAnsi="Times New Roman" w:eastAsia="仿宋_GB2312" w:cs="Times New Roman"/>
        </w:rPr>
        <w:t>江一起进行导开作业。12点35分左右，宋</w:t>
      </w:r>
      <w:r>
        <w:rPr>
          <w:rFonts w:hint="eastAsia" w:eastAsia="仿宋_GB2312"/>
          <w:sz w:val="32"/>
          <w:szCs w:val="32"/>
          <w:lang w:eastAsia="zh-CN"/>
        </w:rPr>
        <w:t>某</w:t>
      </w:r>
      <w:r>
        <w:rPr>
          <w:rFonts w:hint="eastAsia" w:ascii="Times New Roman" w:hAnsi="Times New Roman" w:eastAsia="仿宋_GB2312" w:cs="Times New Roman"/>
        </w:rPr>
        <w:t>新完成导开作业往操控室走，卷曲的赵</w:t>
      </w:r>
      <w:r>
        <w:rPr>
          <w:rFonts w:hint="eastAsia" w:eastAsia="仿宋_GB2312"/>
          <w:sz w:val="32"/>
          <w:szCs w:val="32"/>
          <w:lang w:eastAsia="zh-CN"/>
        </w:rPr>
        <w:t>某</w:t>
      </w:r>
      <w:r>
        <w:rPr>
          <w:rFonts w:hint="eastAsia" w:ascii="Times New Roman" w:hAnsi="Times New Roman" w:eastAsia="仿宋_GB2312" w:cs="Times New Roman"/>
        </w:rPr>
        <w:t>超正好从北侧往南侧走，赵</w:t>
      </w:r>
      <w:r>
        <w:rPr>
          <w:rFonts w:hint="eastAsia" w:eastAsia="仿宋_GB2312"/>
          <w:sz w:val="32"/>
          <w:szCs w:val="32"/>
          <w:lang w:eastAsia="zh-CN"/>
        </w:rPr>
        <w:t>某</w:t>
      </w:r>
      <w:r>
        <w:rPr>
          <w:rFonts w:hint="eastAsia" w:ascii="Times New Roman" w:hAnsi="Times New Roman" w:eastAsia="仿宋_GB2312" w:cs="Times New Roman"/>
        </w:rPr>
        <w:t>超找到宋</w:t>
      </w:r>
      <w:r>
        <w:rPr>
          <w:rFonts w:hint="eastAsia" w:eastAsia="仿宋_GB2312"/>
          <w:sz w:val="32"/>
          <w:szCs w:val="32"/>
          <w:lang w:eastAsia="zh-CN"/>
        </w:rPr>
        <w:t>某</w:t>
      </w:r>
      <w:r>
        <w:rPr>
          <w:rFonts w:hint="eastAsia" w:ascii="Times New Roman" w:hAnsi="Times New Roman" w:eastAsia="仿宋_GB2312" w:cs="Times New Roman"/>
        </w:rPr>
        <w:t>新说2浴地面都是水，要宋</w:t>
      </w:r>
      <w:r>
        <w:rPr>
          <w:rFonts w:hint="eastAsia" w:eastAsia="仿宋_GB2312"/>
          <w:sz w:val="32"/>
          <w:szCs w:val="32"/>
          <w:lang w:eastAsia="zh-CN"/>
        </w:rPr>
        <w:t>某</w:t>
      </w:r>
      <w:r>
        <w:rPr>
          <w:rFonts w:hint="eastAsia" w:ascii="Times New Roman" w:hAnsi="Times New Roman" w:eastAsia="仿宋_GB2312" w:cs="Times New Roman"/>
        </w:rPr>
        <w:t>新去处理下。宋</w:t>
      </w:r>
      <w:r>
        <w:rPr>
          <w:rFonts w:hint="eastAsia" w:eastAsia="仿宋_GB2312"/>
          <w:sz w:val="32"/>
          <w:szCs w:val="32"/>
          <w:lang w:eastAsia="zh-CN"/>
        </w:rPr>
        <w:t>某</w:t>
      </w:r>
      <w:r>
        <w:rPr>
          <w:rFonts w:hint="eastAsia" w:ascii="Times New Roman" w:hAnsi="Times New Roman" w:eastAsia="仿宋_GB2312" w:cs="Times New Roman"/>
        </w:rPr>
        <w:t>新想到李</w:t>
      </w:r>
      <w:r>
        <w:rPr>
          <w:rFonts w:hint="eastAsia" w:eastAsia="仿宋_GB2312"/>
          <w:sz w:val="32"/>
          <w:szCs w:val="32"/>
          <w:lang w:eastAsia="zh-CN"/>
        </w:rPr>
        <w:t>某</w:t>
      </w:r>
      <w:r>
        <w:rPr>
          <w:rFonts w:hint="eastAsia" w:ascii="Times New Roman" w:hAnsi="Times New Roman" w:eastAsia="仿宋_GB2312" w:cs="Times New Roman"/>
        </w:rPr>
        <w:t>在2浴冲水，就到了设备2浴的2米3平台，进入平台后看到门口的水管爆了，关闭了水管阀门，扭头看到李</w:t>
      </w:r>
      <w:r>
        <w:rPr>
          <w:rFonts w:hint="eastAsia" w:eastAsia="仿宋_GB2312"/>
          <w:sz w:val="32"/>
          <w:szCs w:val="32"/>
          <w:lang w:eastAsia="zh-CN"/>
        </w:rPr>
        <w:t>某</w:t>
      </w:r>
      <w:r>
        <w:rPr>
          <w:rFonts w:hint="eastAsia" w:ascii="Times New Roman" w:hAnsi="Times New Roman" w:eastAsia="仿宋_GB2312" w:cs="Times New Roman"/>
        </w:rPr>
        <w:t>被卡在平台张力站的罗拉里，立即跑到1楼拉了急停绳，设备停止运转。宋</w:t>
      </w:r>
      <w:r>
        <w:rPr>
          <w:rFonts w:hint="eastAsia" w:eastAsia="仿宋_GB2312"/>
          <w:sz w:val="32"/>
          <w:szCs w:val="32"/>
          <w:lang w:eastAsia="zh-CN"/>
        </w:rPr>
        <w:t>某</w:t>
      </w:r>
      <w:r>
        <w:rPr>
          <w:rFonts w:hint="eastAsia" w:ascii="Times New Roman" w:hAnsi="Times New Roman" w:eastAsia="仿宋_GB2312" w:cs="Times New Roman"/>
        </w:rPr>
        <w:t>新看到副厂长李</w:t>
      </w:r>
      <w:r>
        <w:rPr>
          <w:rFonts w:hint="eastAsia" w:eastAsia="仿宋_GB2312"/>
          <w:sz w:val="32"/>
          <w:szCs w:val="32"/>
          <w:lang w:eastAsia="zh-CN"/>
        </w:rPr>
        <w:t>某</w:t>
      </w:r>
      <w:r>
        <w:rPr>
          <w:rFonts w:hint="eastAsia" w:ascii="Times New Roman" w:hAnsi="Times New Roman" w:eastAsia="仿宋_GB2312" w:cs="Times New Roman"/>
        </w:rPr>
        <w:t>辉和浸胶科副科长计</w:t>
      </w:r>
      <w:r>
        <w:rPr>
          <w:rFonts w:hint="eastAsia" w:eastAsia="仿宋_GB2312"/>
          <w:sz w:val="32"/>
          <w:szCs w:val="32"/>
          <w:lang w:eastAsia="zh-CN"/>
        </w:rPr>
        <w:t>某</w:t>
      </w:r>
      <w:r>
        <w:rPr>
          <w:rFonts w:hint="eastAsia" w:ascii="Times New Roman" w:hAnsi="Times New Roman" w:eastAsia="仿宋_GB2312" w:cs="Times New Roman"/>
        </w:rPr>
        <w:t>根一前一后从设备卷曲那边往南走，向他们讲述了事故情况并去关闭了设备电源，计</w:t>
      </w:r>
      <w:r>
        <w:rPr>
          <w:rFonts w:hint="eastAsia" w:eastAsia="仿宋_GB2312"/>
          <w:sz w:val="32"/>
          <w:szCs w:val="32"/>
          <w:lang w:eastAsia="zh-CN"/>
        </w:rPr>
        <w:t>某</w:t>
      </w:r>
      <w:r>
        <w:rPr>
          <w:rFonts w:hint="eastAsia" w:ascii="Times New Roman" w:hAnsi="Times New Roman" w:eastAsia="仿宋_GB2312" w:cs="Times New Roman"/>
        </w:rPr>
        <w:t>根立即拨打了120和119，同时向公司安环科汇报，安环科经理陈</w:t>
      </w:r>
      <w:r>
        <w:rPr>
          <w:rFonts w:hint="eastAsia" w:eastAsia="仿宋_GB2312"/>
          <w:sz w:val="32"/>
          <w:szCs w:val="32"/>
          <w:lang w:eastAsia="zh-CN"/>
        </w:rPr>
        <w:t>某</w:t>
      </w:r>
      <w:r>
        <w:rPr>
          <w:rFonts w:hint="eastAsia" w:ascii="Times New Roman" w:hAnsi="Times New Roman" w:eastAsia="仿宋_GB2312" w:cs="Times New Roman"/>
        </w:rPr>
        <w:t>华接到报告后立即联系厂医周</w:t>
      </w:r>
      <w:r>
        <w:rPr>
          <w:rFonts w:hint="eastAsia" w:eastAsia="仿宋_GB2312"/>
          <w:sz w:val="32"/>
          <w:szCs w:val="32"/>
          <w:lang w:eastAsia="zh-CN"/>
        </w:rPr>
        <w:t>某</w:t>
      </w:r>
      <w:r>
        <w:rPr>
          <w:rFonts w:hint="eastAsia" w:ascii="Times New Roman" w:hAnsi="Times New Roman" w:eastAsia="仿宋_GB2312" w:cs="Times New Roman"/>
        </w:rPr>
        <w:t>一起赶到事发现场，查看现场后向公司总经理蔡</w:t>
      </w:r>
      <w:r>
        <w:rPr>
          <w:rFonts w:hint="eastAsia" w:eastAsia="仿宋_GB2312"/>
          <w:sz w:val="32"/>
          <w:szCs w:val="32"/>
          <w:lang w:eastAsia="zh-CN"/>
        </w:rPr>
        <w:t>某</w:t>
      </w:r>
      <w:r>
        <w:rPr>
          <w:rFonts w:hint="eastAsia" w:ascii="Times New Roman" w:hAnsi="Times New Roman" w:eastAsia="仿宋_GB2312" w:cs="Times New Roman"/>
        </w:rPr>
        <w:t>胜和化管办汇报了事故情况，并联系机电科相关人员到现场对设备进行破拆。过了一会，120、119、110和政府相关部门的人员陆续赶到现场，将李</w:t>
      </w:r>
      <w:r>
        <w:rPr>
          <w:rFonts w:hint="eastAsia" w:eastAsia="仿宋_GB2312"/>
          <w:sz w:val="32"/>
          <w:szCs w:val="32"/>
          <w:lang w:eastAsia="zh-CN"/>
        </w:rPr>
        <w:t>某</w:t>
      </w:r>
      <w:r>
        <w:rPr>
          <w:rFonts w:hint="eastAsia" w:ascii="Times New Roman" w:hAnsi="Times New Roman" w:eastAsia="仿宋_GB2312" w:cs="Times New Roman"/>
        </w:rPr>
        <w:t>救出后送往吴中人民医院，李</w:t>
      </w:r>
      <w:r>
        <w:rPr>
          <w:rFonts w:hint="eastAsia" w:eastAsia="仿宋_GB2312"/>
          <w:sz w:val="32"/>
          <w:szCs w:val="32"/>
          <w:lang w:eastAsia="zh-CN"/>
        </w:rPr>
        <w:t>某</w:t>
      </w:r>
      <w:r>
        <w:rPr>
          <w:rFonts w:hint="eastAsia" w:ascii="Times New Roman" w:hAnsi="Times New Roman" w:eastAsia="仿宋_GB2312" w:cs="Times New Roman"/>
        </w:rPr>
        <w:t>经抢救无效死亡。</w:t>
      </w:r>
    </w:p>
    <w:p w14:paraId="57894686">
      <w:pPr>
        <w:pStyle w:val="8"/>
        <w:spacing w:after="0"/>
        <w:ind w:firstLine="640"/>
        <w:rPr>
          <w:rFonts w:ascii="Times New Roman" w:hAnsi="Times New Roman" w:eastAsia="楷体_GB2312" w:cs="Times New Roman"/>
        </w:rPr>
      </w:pPr>
      <w:r>
        <w:rPr>
          <w:rFonts w:ascii="Times New Roman" w:hAnsi="Times New Roman" w:eastAsia="楷体_GB2312" w:cs="Times New Roman"/>
        </w:rPr>
        <w:t>（</w:t>
      </w:r>
      <w:r>
        <w:rPr>
          <w:rFonts w:hint="eastAsia" w:ascii="Times New Roman" w:hAnsi="Times New Roman" w:eastAsia="楷体_GB2312" w:cs="Times New Roman"/>
        </w:rPr>
        <w:t>五</w:t>
      </w:r>
      <w:r>
        <w:rPr>
          <w:rFonts w:ascii="Times New Roman" w:hAnsi="Times New Roman" w:eastAsia="楷体_GB2312" w:cs="Times New Roman"/>
        </w:rPr>
        <w:t>）人员伤亡和直接经济损失情况</w:t>
      </w:r>
      <w:bookmarkEnd w:id="25"/>
    </w:p>
    <w:p w14:paraId="3AE75452">
      <w:pPr>
        <w:ind w:firstLine="640" w:firstLineChars="0"/>
        <w:rPr>
          <w:rFonts w:cs="Times New Roman"/>
        </w:rPr>
      </w:pPr>
      <w:r>
        <w:rPr>
          <w:rFonts w:cs="Times New Roman"/>
        </w:rPr>
        <w:t>1.伤亡人员情况</w:t>
      </w:r>
    </w:p>
    <w:tbl>
      <w:tblPr>
        <w:tblStyle w:val="24"/>
        <w:tblW w:w="9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919"/>
        <w:gridCol w:w="567"/>
        <w:gridCol w:w="851"/>
        <w:gridCol w:w="1717"/>
        <w:gridCol w:w="834"/>
        <w:gridCol w:w="765"/>
        <w:gridCol w:w="794"/>
        <w:gridCol w:w="2238"/>
      </w:tblGrid>
      <w:tr w14:paraId="364D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exact"/>
        </w:trPr>
        <w:tc>
          <w:tcPr>
            <w:tcW w:w="465" w:type="dxa"/>
            <w:tcBorders>
              <w:top w:val="single" w:color="auto" w:sz="4" w:space="0"/>
              <w:left w:val="single" w:color="auto" w:sz="4" w:space="0"/>
              <w:bottom w:val="single" w:color="auto" w:sz="4" w:space="0"/>
              <w:right w:val="single" w:color="auto" w:sz="4" w:space="0"/>
            </w:tcBorders>
            <w:vAlign w:val="center"/>
          </w:tcPr>
          <w:p w14:paraId="6FA1148F">
            <w:pPr>
              <w:spacing w:line="240" w:lineRule="auto"/>
              <w:ind w:firstLine="0" w:firstLineChars="0"/>
              <w:jc w:val="center"/>
              <w:rPr>
                <w:rFonts w:cs="Times New Roman"/>
                <w:b/>
                <w:sz w:val="21"/>
                <w:szCs w:val="21"/>
              </w:rPr>
            </w:pPr>
            <w:r>
              <w:rPr>
                <w:rFonts w:cs="Times New Roman"/>
                <w:b/>
                <w:sz w:val="21"/>
                <w:szCs w:val="21"/>
              </w:rPr>
              <w:t>序号</w:t>
            </w:r>
          </w:p>
        </w:tc>
        <w:tc>
          <w:tcPr>
            <w:tcW w:w="919" w:type="dxa"/>
            <w:tcBorders>
              <w:top w:val="single" w:color="auto" w:sz="4" w:space="0"/>
              <w:left w:val="single" w:color="auto" w:sz="4" w:space="0"/>
              <w:bottom w:val="single" w:color="auto" w:sz="4" w:space="0"/>
              <w:right w:val="single" w:color="auto" w:sz="4" w:space="0"/>
            </w:tcBorders>
            <w:vAlign w:val="center"/>
          </w:tcPr>
          <w:p w14:paraId="7AE8381E">
            <w:pPr>
              <w:spacing w:line="240" w:lineRule="auto"/>
              <w:ind w:firstLine="0" w:firstLineChars="0"/>
              <w:jc w:val="center"/>
              <w:rPr>
                <w:rFonts w:cs="Times New Roman"/>
                <w:b/>
                <w:sz w:val="21"/>
                <w:szCs w:val="21"/>
              </w:rPr>
            </w:pPr>
            <w:r>
              <w:rPr>
                <w:rFonts w:cs="Times New Roman"/>
                <w:b/>
                <w:sz w:val="21"/>
                <w:szCs w:val="21"/>
              </w:rPr>
              <w:t>伤亡者</w:t>
            </w:r>
          </w:p>
          <w:p w14:paraId="0107B4D6">
            <w:pPr>
              <w:spacing w:line="240" w:lineRule="auto"/>
              <w:ind w:firstLine="0" w:firstLineChars="0"/>
              <w:jc w:val="center"/>
              <w:rPr>
                <w:rFonts w:cs="Times New Roman"/>
                <w:b/>
                <w:sz w:val="21"/>
                <w:szCs w:val="21"/>
              </w:rPr>
            </w:pPr>
            <w:r>
              <w:rPr>
                <w:rFonts w:cs="Times New Roman"/>
                <w:b/>
                <w:sz w:val="21"/>
                <w:szCs w:val="21"/>
              </w:rPr>
              <w:t>姓  名</w:t>
            </w:r>
          </w:p>
        </w:tc>
        <w:tc>
          <w:tcPr>
            <w:tcW w:w="567" w:type="dxa"/>
            <w:tcBorders>
              <w:top w:val="single" w:color="auto" w:sz="4" w:space="0"/>
              <w:left w:val="single" w:color="auto" w:sz="4" w:space="0"/>
              <w:bottom w:val="single" w:color="auto" w:sz="4" w:space="0"/>
              <w:right w:val="single" w:color="auto" w:sz="4" w:space="0"/>
            </w:tcBorders>
            <w:vAlign w:val="center"/>
          </w:tcPr>
          <w:p w14:paraId="05DDCF06">
            <w:pPr>
              <w:spacing w:line="240" w:lineRule="auto"/>
              <w:ind w:firstLine="0" w:firstLineChars="0"/>
              <w:jc w:val="center"/>
              <w:rPr>
                <w:rFonts w:cs="Times New Roman"/>
                <w:b/>
                <w:sz w:val="21"/>
                <w:szCs w:val="21"/>
              </w:rPr>
            </w:pPr>
            <w:r>
              <w:rPr>
                <w:rFonts w:cs="Times New Roman"/>
                <w:b/>
                <w:sz w:val="21"/>
                <w:szCs w:val="21"/>
              </w:rPr>
              <w:t>性别</w:t>
            </w:r>
          </w:p>
        </w:tc>
        <w:tc>
          <w:tcPr>
            <w:tcW w:w="851" w:type="dxa"/>
            <w:tcBorders>
              <w:top w:val="single" w:color="auto" w:sz="4" w:space="0"/>
              <w:left w:val="single" w:color="auto" w:sz="4" w:space="0"/>
              <w:bottom w:val="single" w:color="auto" w:sz="4" w:space="0"/>
              <w:right w:val="single" w:color="auto" w:sz="4" w:space="0"/>
            </w:tcBorders>
            <w:vAlign w:val="center"/>
          </w:tcPr>
          <w:p w14:paraId="1DCA0380">
            <w:pPr>
              <w:spacing w:line="240" w:lineRule="auto"/>
              <w:ind w:firstLine="0" w:firstLineChars="0"/>
              <w:jc w:val="center"/>
              <w:rPr>
                <w:rFonts w:cs="Times New Roman"/>
                <w:b/>
                <w:sz w:val="21"/>
                <w:szCs w:val="21"/>
              </w:rPr>
            </w:pPr>
            <w:r>
              <w:rPr>
                <w:rFonts w:cs="Times New Roman"/>
                <w:b/>
                <w:sz w:val="21"/>
                <w:szCs w:val="21"/>
              </w:rPr>
              <w:t>工种</w:t>
            </w:r>
          </w:p>
        </w:tc>
        <w:tc>
          <w:tcPr>
            <w:tcW w:w="1717" w:type="dxa"/>
            <w:tcBorders>
              <w:top w:val="single" w:color="auto" w:sz="4" w:space="0"/>
              <w:left w:val="single" w:color="auto" w:sz="4" w:space="0"/>
              <w:bottom w:val="single" w:color="auto" w:sz="4" w:space="0"/>
              <w:right w:val="single" w:color="auto" w:sz="4" w:space="0"/>
            </w:tcBorders>
            <w:vAlign w:val="center"/>
          </w:tcPr>
          <w:p w14:paraId="33E297A0">
            <w:pPr>
              <w:spacing w:line="240" w:lineRule="auto"/>
              <w:ind w:firstLine="0" w:firstLineChars="0"/>
              <w:jc w:val="center"/>
              <w:rPr>
                <w:rFonts w:cs="Times New Roman"/>
                <w:b/>
                <w:sz w:val="21"/>
                <w:szCs w:val="21"/>
              </w:rPr>
            </w:pPr>
            <w:r>
              <w:rPr>
                <w:rFonts w:cs="Times New Roman"/>
                <w:b/>
                <w:sz w:val="21"/>
                <w:szCs w:val="21"/>
              </w:rPr>
              <w:t>身份证号码</w:t>
            </w:r>
          </w:p>
        </w:tc>
        <w:tc>
          <w:tcPr>
            <w:tcW w:w="834" w:type="dxa"/>
            <w:tcBorders>
              <w:top w:val="single" w:color="auto" w:sz="4" w:space="0"/>
              <w:left w:val="single" w:color="auto" w:sz="4" w:space="0"/>
              <w:bottom w:val="single" w:color="auto" w:sz="4" w:space="0"/>
              <w:right w:val="single" w:color="auto" w:sz="4" w:space="0"/>
            </w:tcBorders>
            <w:vAlign w:val="center"/>
          </w:tcPr>
          <w:p w14:paraId="4A334BEA">
            <w:pPr>
              <w:spacing w:line="240" w:lineRule="auto"/>
              <w:ind w:firstLine="0" w:firstLineChars="0"/>
              <w:jc w:val="center"/>
              <w:rPr>
                <w:rFonts w:cs="Times New Roman"/>
                <w:b/>
                <w:sz w:val="21"/>
                <w:szCs w:val="21"/>
              </w:rPr>
            </w:pPr>
            <w:r>
              <w:rPr>
                <w:rFonts w:cs="Times New Roman"/>
                <w:b/>
                <w:sz w:val="21"/>
                <w:szCs w:val="21"/>
              </w:rPr>
              <w:t>伤势</w:t>
            </w:r>
          </w:p>
          <w:p w14:paraId="109D0FE6">
            <w:pPr>
              <w:spacing w:line="240" w:lineRule="auto"/>
              <w:ind w:firstLine="0" w:firstLineChars="0"/>
              <w:jc w:val="center"/>
              <w:rPr>
                <w:rFonts w:cs="Times New Roman"/>
                <w:b/>
                <w:sz w:val="21"/>
                <w:szCs w:val="21"/>
              </w:rPr>
            </w:pPr>
            <w:r>
              <w:rPr>
                <w:rFonts w:cs="Times New Roman"/>
                <w:b/>
                <w:sz w:val="21"/>
                <w:szCs w:val="21"/>
              </w:rPr>
              <w:t>情况</w:t>
            </w:r>
          </w:p>
        </w:tc>
        <w:tc>
          <w:tcPr>
            <w:tcW w:w="765" w:type="dxa"/>
            <w:tcBorders>
              <w:top w:val="single" w:color="auto" w:sz="4" w:space="0"/>
              <w:left w:val="single" w:color="auto" w:sz="4" w:space="0"/>
              <w:bottom w:val="single" w:color="auto" w:sz="4" w:space="0"/>
              <w:right w:val="single" w:color="auto" w:sz="4" w:space="0"/>
            </w:tcBorders>
            <w:vAlign w:val="center"/>
          </w:tcPr>
          <w:p w14:paraId="5A2F9529">
            <w:pPr>
              <w:spacing w:line="240" w:lineRule="auto"/>
              <w:ind w:firstLine="0" w:firstLineChars="0"/>
              <w:jc w:val="center"/>
              <w:rPr>
                <w:rFonts w:cs="Times New Roman"/>
                <w:b/>
                <w:sz w:val="21"/>
                <w:szCs w:val="21"/>
              </w:rPr>
            </w:pPr>
            <w:r>
              <w:rPr>
                <w:rFonts w:cs="Times New Roman"/>
                <w:b/>
                <w:sz w:val="21"/>
                <w:szCs w:val="21"/>
              </w:rPr>
              <w:t>受伤</w:t>
            </w:r>
          </w:p>
          <w:p w14:paraId="6F4BE77B">
            <w:pPr>
              <w:spacing w:line="240" w:lineRule="auto"/>
              <w:ind w:firstLine="0" w:firstLineChars="0"/>
              <w:jc w:val="center"/>
              <w:rPr>
                <w:rFonts w:cs="Times New Roman"/>
                <w:b/>
                <w:sz w:val="21"/>
                <w:szCs w:val="21"/>
              </w:rPr>
            </w:pPr>
            <w:r>
              <w:rPr>
                <w:rFonts w:cs="Times New Roman"/>
                <w:b/>
                <w:sz w:val="21"/>
                <w:szCs w:val="21"/>
              </w:rPr>
              <w:t>部位</w:t>
            </w:r>
          </w:p>
        </w:tc>
        <w:tc>
          <w:tcPr>
            <w:tcW w:w="794" w:type="dxa"/>
            <w:tcBorders>
              <w:top w:val="single" w:color="auto" w:sz="4" w:space="0"/>
              <w:left w:val="single" w:color="auto" w:sz="4" w:space="0"/>
              <w:bottom w:val="single" w:color="auto" w:sz="4" w:space="0"/>
              <w:right w:val="single" w:color="auto" w:sz="4" w:space="0"/>
            </w:tcBorders>
            <w:vAlign w:val="center"/>
          </w:tcPr>
          <w:p w14:paraId="09B92BD2">
            <w:pPr>
              <w:spacing w:line="240" w:lineRule="auto"/>
              <w:ind w:firstLine="0" w:firstLineChars="0"/>
              <w:jc w:val="center"/>
              <w:rPr>
                <w:rFonts w:cs="Times New Roman"/>
                <w:b/>
                <w:sz w:val="21"/>
                <w:szCs w:val="21"/>
              </w:rPr>
            </w:pPr>
            <w:r>
              <w:rPr>
                <w:rFonts w:cs="Times New Roman"/>
                <w:b/>
                <w:sz w:val="21"/>
                <w:szCs w:val="21"/>
              </w:rPr>
              <w:t>受伤</w:t>
            </w:r>
          </w:p>
          <w:p w14:paraId="14D63352">
            <w:pPr>
              <w:spacing w:line="240" w:lineRule="auto"/>
              <w:ind w:firstLine="0" w:firstLineChars="0"/>
              <w:jc w:val="center"/>
              <w:rPr>
                <w:rFonts w:cs="Times New Roman"/>
                <w:b/>
                <w:sz w:val="21"/>
                <w:szCs w:val="21"/>
              </w:rPr>
            </w:pPr>
            <w:r>
              <w:rPr>
                <w:rFonts w:cs="Times New Roman"/>
                <w:b/>
                <w:sz w:val="21"/>
                <w:szCs w:val="21"/>
              </w:rPr>
              <w:t>类别</w:t>
            </w:r>
          </w:p>
        </w:tc>
        <w:tc>
          <w:tcPr>
            <w:tcW w:w="2238" w:type="dxa"/>
            <w:tcBorders>
              <w:top w:val="single" w:color="auto" w:sz="4" w:space="0"/>
              <w:left w:val="single" w:color="auto" w:sz="4" w:space="0"/>
              <w:bottom w:val="single" w:color="auto" w:sz="4" w:space="0"/>
              <w:right w:val="single" w:color="auto" w:sz="4" w:space="0"/>
            </w:tcBorders>
            <w:vAlign w:val="center"/>
          </w:tcPr>
          <w:p w14:paraId="61CB02A2">
            <w:pPr>
              <w:spacing w:line="240" w:lineRule="auto"/>
              <w:ind w:firstLine="0" w:firstLineChars="0"/>
              <w:jc w:val="center"/>
              <w:rPr>
                <w:rFonts w:cs="Times New Roman"/>
                <w:b/>
                <w:sz w:val="21"/>
                <w:szCs w:val="21"/>
              </w:rPr>
            </w:pPr>
            <w:r>
              <w:rPr>
                <w:rFonts w:cs="Times New Roman"/>
                <w:b/>
                <w:sz w:val="21"/>
                <w:szCs w:val="21"/>
              </w:rPr>
              <w:t>家庭住址</w:t>
            </w:r>
          </w:p>
        </w:tc>
      </w:tr>
      <w:tr w14:paraId="031B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exact"/>
        </w:trPr>
        <w:tc>
          <w:tcPr>
            <w:tcW w:w="465" w:type="dxa"/>
            <w:tcBorders>
              <w:top w:val="single" w:color="auto" w:sz="4" w:space="0"/>
              <w:left w:val="single" w:color="auto" w:sz="4" w:space="0"/>
              <w:bottom w:val="single" w:color="auto" w:sz="4" w:space="0"/>
              <w:right w:val="single" w:color="auto" w:sz="4" w:space="0"/>
            </w:tcBorders>
            <w:vAlign w:val="center"/>
          </w:tcPr>
          <w:p w14:paraId="22B81005">
            <w:pPr>
              <w:spacing w:line="240" w:lineRule="auto"/>
              <w:ind w:firstLine="0" w:firstLineChars="0"/>
              <w:jc w:val="center"/>
              <w:rPr>
                <w:rFonts w:cs="Times New Roman"/>
                <w:b/>
                <w:sz w:val="21"/>
                <w:szCs w:val="21"/>
              </w:rPr>
            </w:pPr>
            <w:r>
              <w:rPr>
                <w:rFonts w:cs="Times New Roman"/>
                <w:b/>
                <w:sz w:val="21"/>
                <w:szCs w:val="21"/>
              </w:rPr>
              <w:t>1</w:t>
            </w:r>
          </w:p>
        </w:tc>
        <w:tc>
          <w:tcPr>
            <w:tcW w:w="919" w:type="dxa"/>
            <w:tcBorders>
              <w:top w:val="single" w:color="auto" w:sz="4" w:space="0"/>
              <w:left w:val="single" w:color="auto" w:sz="4" w:space="0"/>
              <w:bottom w:val="single" w:color="auto" w:sz="4" w:space="0"/>
              <w:right w:val="single" w:color="auto" w:sz="4" w:space="0"/>
            </w:tcBorders>
            <w:vAlign w:val="center"/>
          </w:tcPr>
          <w:p w14:paraId="1865C856">
            <w:pPr>
              <w:spacing w:line="240" w:lineRule="auto"/>
              <w:ind w:firstLine="0" w:firstLineChars="0"/>
              <w:jc w:val="center"/>
              <w:rPr>
                <w:rFonts w:cs="Times New Roman"/>
                <w:sz w:val="21"/>
                <w:szCs w:val="21"/>
              </w:rPr>
            </w:pPr>
            <w:r>
              <w:rPr>
                <w:rFonts w:hint="eastAsia" w:cs="Times New Roman"/>
                <w:sz w:val="21"/>
                <w:szCs w:val="21"/>
              </w:rPr>
              <w:t>李</w:t>
            </w:r>
            <w:r>
              <w:rPr>
                <w:rFonts w:hint="eastAsia" w:cs="Times New Roman"/>
                <w:sz w:val="21"/>
                <w:szCs w:val="21"/>
                <w:lang w:eastAsia="zh-CN"/>
              </w:rPr>
              <w:t>某</w:t>
            </w:r>
          </w:p>
        </w:tc>
        <w:tc>
          <w:tcPr>
            <w:tcW w:w="567" w:type="dxa"/>
            <w:tcBorders>
              <w:top w:val="single" w:color="auto" w:sz="4" w:space="0"/>
              <w:left w:val="single" w:color="auto" w:sz="4" w:space="0"/>
              <w:bottom w:val="single" w:color="auto" w:sz="4" w:space="0"/>
              <w:right w:val="single" w:color="auto" w:sz="4" w:space="0"/>
            </w:tcBorders>
            <w:vAlign w:val="center"/>
          </w:tcPr>
          <w:p w14:paraId="2CEF4C88">
            <w:pPr>
              <w:spacing w:line="240" w:lineRule="auto"/>
              <w:ind w:firstLine="0" w:firstLineChars="0"/>
              <w:jc w:val="center"/>
              <w:rPr>
                <w:rFonts w:cs="Times New Roman"/>
                <w:sz w:val="21"/>
                <w:szCs w:val="21"/>
              </w:rPr>
            </w:pPr>
            <w:r>
              <w:rPr>
                <w:rFonts w:cs="Times New Roman"/>
                <w:sz w:val="21"/>
                <w:szCs w:val="21"/>
              </w:rPr>
              <w:t>男</w:t>
            </w:r>
          </w:p>
        </w:tc>
        <w:tc>
          <w:tcPr>
            <w:tcW w:w="851" w:type="dxa"/>
            <w:tcBorders>
              <w:top w:val="single" w:color="auto" w:sz="4" w:space="0"/>
              <w:left w:val="single" w:color="auto" w:sz="4" w:space="0"/>
              <w:bottom w:val="single" w:color="auto" w:sz="4" w:space="0"/>
              <w:right w:val="single" w:color="auto" w:sz="4" w:space="0"/>
            </w:tcBorders>
            <w:vAlign w:val="center"/>
          </w:tcPr>
          <w:p w14:paraId="0A557BEC">
            <w:pPr>
              <w:spacing w:line="240" w:lineRule="auto"/>
              <w:ind w:firstLine="0" w:firstLineChars="0"/>
              <w:jc w:val="center"/>
              <w:rPr>
                <w:rFonts w:cs="Times New Roman"/>
                <w:sz w:val="21"/>
                <w:szCs w:val="21"/>
              </w:rPr>
            </w:pPr>
            <w:r>
              <w:rPr>
                <w:rFonts w:hint="eastAsia" w:cs="Times New Roman"/>
                <w:sz w:val="21"/>
                <w:szCs w:val="21"/>
              </w:rPr>
              <w:t>操作</w:t>
            </w:r>
            <w:r>
              <w:rPr>
                <w:rFonts w:cs="Times New Roman"/>
                <w:sz w:val="21"/>
                <w:szCs w:val="21"/>
              </w:rPr>
              <w:t>工</w:t>
            </w:r>
          </w:p>
        </w:tc>
        <w:tc>
          <w:tcPr>
            <w:tcW w:w="1717" w:type="dxa"/>
            <w:tcBorders>
              <w:top w:val="single" w:color="auto" w:sz="4" w:space="0"/>
              <w:left w:val="single" w:color="auto" w:sz="4" w:space="0"/>
              <w:bottom w:val="single" w:color="auto" w:sz="4" w:space="0"/>
              <w:right w:val="single" w:color="auto" w:sz="4" w:space="0"/>
            </w:tcBorders>
            <w:vAlign w:val="center"/>
          </w:tcPr>
          <w:p w14:paraId="1D7928DB">
            <w:pPr>
              <w:spacing w:line="240" w:lineRule="auto"/>
              <w:ind w:firstLine="0" w:firstLineChars="0"/>
              <w:jc w:val="center"/>
              <w:rPr>
                <w:rFonts w:hint="default" w:eastAsia="仿宋_GB2312" w:cs="Times New Roman"/>
                <w:sz w:val="21"/>
                <w:szCs w:val="21"/>
                <w:lang w:val="en-US" w:eastAsia="zh-CN"/>
              </w:rPr>
            </w:pPr>
            <w:r>
              <w:rPr>
                <w:rFonts w:hint="eastAsia" w:cs="Times New Roman"/>
                <w:sz w:val="21"/>
                <w:szCs w:val="21"/>
              </w:rPr>
              <w:t>5304241998</w:t>
            </w:r>
            <w:r>
              <w:rPr>
                <w:rFonts w:hint="eastAsia" w:cs="Times New Roman"/>
                <w:sz w:val="21"/>
                <w:szCs w:val="21"/>
                <w:lang w:val="en-US" w:eastAsia="zh-CN"/>
              </w:rPr>
              <w:t>********</w:t>
            </w:r>
          </w:p>
        </w:tc>
        <w:tc>
          <w:tcPr>
            <w:tcW w:w="834" w:type="dxa"/>
            <w:tcBorders>
              <w:top w:val="single" w:color="auto" w:sz="4" w:space="0"/>
              <w:left w:val="single" w:color="auto" w:sz="4" w:space="0"/>
              <w:bottom w:val="single" w:color="auto" w:sz="4" w:space="0"/>
              <w:right w:val="single" w:color="auto" w:sz="4" w:space="0"/>
            </w:tcBorders>
            <w:vAlign w:val="center"/>
          </w:tcPr>
          <w:p w14:paraId="01124214">
            <w:pPr>
              <w:spacing w:line="240" w:lineRule="auto"/>
              <w:ind w:firstLine="0" w:firstLineChars="0"/>
              <w:jc w:val="center"/>
              <w:rPr>
                <w:rFonts w:cs="Times New Roman"/>
                <w:sz w:val="21"/>
                <w:szCs w:val="21"/>
              </w:rPr>
            </w:pPr>
            <w:r>
              <w:rPr>
                <w:rFonts w:cs="Times New Roman"/>
                <w:sz w:val="21"/>
                <w:szCs w:val="21"/>
              </w:rPr>
              <w:t>死亡</w:t>
            </w:r>
          </w:p>
        </w:tc>
        <w:tc>
          <w:tcPr>
            <w:tcW w:w="765" w:type="dxa"/>
            <w:tcBorders>
              <w:top w:val="single" w:color="auto" w:sz="4" w:space="0"/>
              <w:left w:val="single" w:color="auto" w:sz="4" w:space="0"/>
              <w:bottom w:val="single" w:color="auto" w:sz="4" w:space="0"/>
              <w:right w:val="single" w:color="auto" w:sz="4" w:space="0"/>
            </w:tcBorders>
            <w:vAlign w:val="center"/>
          </w:tcPr>
          <w:p w14:paraId="04C861BC">
            <w:pPr>
              <w:spacing w:line="240" w:lineRule="auto"/>
              <w:ind w:firstLine="0" w:firstLineChars="0"/>
              <w:rPr>
                <w:rFonts w:cs="Times New Roman"/>
                <w:sz w:val="21"/>
                <w:szCs w:val="21"/>
              </w:rPr>
            </w:pPr>
            <w:r>
              <w:rPr>
                <w:rFonts w:hint="eastAsia" w:cs="Times New Roman"/>
                <w:sz w:val="21"/>
                <w:szCs w:val="21"/>
              </w:rPr>
              <w:t>身体</w:t>
            </w:r>
          </w:p>
        </w:tc>
        <w:tc>
          <w:tcPr>
            <w:tcW w:w="794" w:type="dxa"/>
            <w:tcBorders>
              <w:top w:val="single" w:color="auto" w:sz="4" w:space="0"/>
              <w:left w:val="single" w:color="auto" w:sz="4" w:space="0"/>
              <w:bottom w:val="single" w:color="auto" w:sz="4" w:space="0"/>
              <w:right w:val="single" w:color="auto" w:sz="4" w:space="0"/>
            </w:tcBorders>
            <w:vAlign w:val="center"/>
          </w:tcPr>
          <w:p w14:paraId="38B7CF35">
            <w:pPr>
              <w:spacing w:line="240" w:lineRule="auto"/>
              <w:ind w:firstLine="0" w:firstLineChars="0"/>
              <w:jc w:val="center"/>
              <w:rPr>
                <w:rFonts w:cs="Times New Roman"/>
                <w:sz w:val="21"/>
                <w:szCs w:val="21"/>
              </w:rPr>
            </w:pPr>
            <w:r>
              <w:rPr>
                <w:rFonts w:hint="eastAsia" w:cs="Times New Roman"/>
                <w:sz w:val="21"/>
                <w:szCs w:val="21"/>
              </w:rPr>
              <w:t>机械伤害</w:t>
            </w:r>
          </w:p>
        </w:tc>
        <w:tc>
          <w:tcPr>
            <w:tcW w:w="2238" w:type="dxa"/>
            <w:tcBorders>
              <w:top w:val="single" w:color="auto" w:sz="4" w:space="0"/>
              <w:left w:val="single" w:color="auto" w:sz="4" w:space="0"/>
              <w:bottom w:val="single" w:color="auto" w:sz="4" w:space="0"/>
              <w:right w:val="single" w:color="auto" w:sz="4" w:space="0"/>
            </w:tcBorders>
            <w:vAlign w:val="center"/>
          </w:tcPr>
          <w:p w14:paraId="422EF838">
            <w:pPr>
              <w:spacing w:line="240" w:lineRule="auto"/>
              <w:ind w:firstLine="0" w:firstLineChars="0"/>
              <w:rPr>
                <w:rFonts w:hint="default" w:eastAsia="仿宋_GB2312" w:cs="Times New Roman"/>
                <w:sz w:val="21"/>
                <w:szCs w:val="21"/>
                <w:lang w:val="en-US" w:eastAsia="zh-CN"/>
              </w:rPr>
            </w:pPr>
            <w:r>
              <w:rPr>
                <w:rFonts w:hint="eastAsia" w:cs="Times New Roman"/>
                <w:sz w:val="21"/>
                <w:szCs w:val="21"/>
              </w:rPr>
              <w:t>云南省玉溪市</w:t>
            </w:r>
            <w:r>
              <w:rPr>
                <w:rFonts w:hint="eastAsia" w:cs="Times New Roman"/>
                <w:sz w:val="21"/>
                <w:szCs w:val="21"/>
                <w:lang w:val="en-US" w:eastAsia="zh-CN"/>
              </w:rPr>
              <w:t>*****</w:t>
            </w:r>
          </w:p>
        </w:tc>
      </w:tr>
    </w:tbl>
    <w:p w14:paraId="64D666C5">
      <w:pPr>
        <w:pStyle w:val="8"/>
        <w:spacing w:after="0"/>
        <w:ind w:firstLine="640"/>
        <w:rPr>
          <w:rFonts w:ascii="Times New Roman" w:hAnsi="Times New Roman" w:cs="Times New Roman"/>
        </w:rPr>
      </w:pPr>
      <w:r>
        <w:rPr>
          <w:rFonts w:ascii="Times New Roman" w:hAnsi="Times New Roman" w:eastAsia="仿宋_GB2312" w:cs="Times New Roman"/>
        </w:rPr>
        <w:t>2.事故直接经济损失：1</w:t>
      </w:r>
      <w:r>
        <w:rPr>
          <w:rFonts w:hint="eastAsia" w:ascii="Times New Roman" w:hAnsi="Times New Roman" w:eastAsia="仿宋_GB2312" w:cs="Times New Roman"/>
        </w:rPr>
        <w:t>86</w:t>
      </w:r>
      <w:r>
        <w:rPr>
          <w:rFonts w:ascii="Times New Roman" w:hAnsi="Times New Roman" w:eastAsia="仿宋_GB2312" w:cs="Times New Roman"/>
        </w:rPr>
        <w:t>万元</w:t>
      </w:r>
    </w:p>
    <w:p w14:paraId="5A46CD6F">
      <w:pPr>
        <w:pStyle w:val="2"/>
        <w:keepNext w:val="0"/>
        <w:keepLines w:val="0"/>
        <w:ind w:firstLine="640"/>
        <w:rPr>
          <w:rFonts w:ascii="Times New Roman" w:hAnsi="Times New Roman" w:cs="Times New Roman"/>
        </w:rPr>
      </w:pPr>
      <w:bookmarkStart w:id="26" w:name="_Toc256000013"/>
      <w:r>
        <w:rPr>
          <w:rFonts w:ascii="Times New Roman" w:hAnsi="Times New Roman" w:cs="Times New Roman"/>
        </w:rPr>
        <w:t>二、事故原因分析</w:t>
      </w:r>
      <w:bookmarkEnd w:id="26"/>
    </w:p>
    <w:p w14:paraId="6129CE7C">
      <w:pPr>
        <w:pStyle w:val="3"/>
        <w:rPr>
          <w:rFonts w:ascii="Times New Roman" w:eastAsia="楷体_GB2312"/>
        </w:rPr>
      </w:pPr>
      <w:bookmarkStart w:id="27" w:name="_Toc256000014"/>
      <w:r>
        <w:rPr>
          <w:rFonts w:ascii="Times New Roman" w:eastAsia="楷体_GB2312"/>
        </w:rPr>
        <w:t>（一）直接原因</w:t>
      </w:r>
      <w:bookmarkEnd w:id="27"/>
    </w:p>
    <w:p w14:paraId="1FF2C53A">
      <w:pPr>
        <w:tabs>
          <w:tab w:val="left" w:pos="3052"/>
        </w:tabs>
        <w:ind w:firstLine="640"/>
        <w:jc w:val="left"/>
        <w:rPr>
          <w:rFonts w:cs="Times New Roman"/>
          <w:color w:val="000000" w:themeColor="text1"/>
          <w:szCs w:val="32"/>
        </w:rPr>
      </w:pPr>
      <w:bookmarkStart w:id="28" w:name="_Toc256000017"/>
      <w:r>
        <w:rPr>
          <w:rFonts w:cs="Times New Roman"/>
          <w:color w:val="000000" w:themeColor="text1"/>
          <w:szCs w:val="32"/>
        </w:rPr>
        <w:t>操作工李</w:t>
      </w:r>
      <w:r>
        <w:rPr>
          <w:rFonts w:hint="eastAsia" w:eastAsia="仿宋_GB2312"/>
          <w:sz w:val="32"/>
          <w:szCs w:val="32"/>
          <w:lang w:eastAsia="zh-CN"/>
        </w:rPr>
        <w:t>某</w:t>
      </w:r>
      <w:r>
        <w:rPr>
          <w:rFonts w:cs="Times New Roman"/>
          <w:color w:val="000000" w:themeColor="text1"/>
          <w:szCs w:val="32"/>
        </w:rPr>
        <w:t>安全意识淡薄，</w:t>
      </w:r>
      <w:r>
        <w:rPr>
          <w:rFonts w:cs="Times New Roman"/>
          <w:szCs w:val="32"/>
        </w:rPr>
        <w:t>违反公司制定的生产作业指导书，</w:t>
      </w:r>
      <w:r>
        <w:rPr>
          <w:rFonts w:cs="Times New Roman"/>
          <w:color w:val="000000" w:themeColor="text1"/>
          <w:szCs w:val="32"/>
        </w:rPr>
        <w:t>在设备运行</w:t>
      </w:r>
      <w:r>
        <w:rPr>
          <w:rFonts w:hint="eastAsia" w:cs="Times New Roman"/>
          <w:color w:val="000000" w:themeColor="text1"/>
          <w:szCs w:val="32"/>
          <w:lang w:eastAsia="zh-CN"/>
        </w:rPr>
        <w:t>状态</w:t>
      </w:r>
      <w:r>
        <w:rPr>
          <w:rFonts w:cs="Times New Roman"/>
          <w:color w:val="000000" w:themeColor="text1"/>
          <w:szCs w:val="32"/>
        </w:rPr>
        <w:t>下进行罗拉清洗作业，不慎被卷入罗拉之间</w:t>
      </w:r>
      <w:r>
        <w:rPr>
          <w:rStyle w:val="29"/>
          <w:rFonts w:eastAsia="仿宋_GB2312" w:cs="Times New Roman"/>
          <w:color w:val="000000" w:themeColor="text1"/>
          <w:sz w:val="32"/>
          <w:szCs w:val="32"/>
        </w:rPr>
        <w:footnoteReference w:id="0"/>
      </w:r>
      <w:r>
        <w:rPr>
          <w:rFonts w:cs="Times New Roman"/>
          <w:color w:val="000000" w:themeColor="text1"/>
          <w:szCs w:val="32"/>
        </w:rPr>
        <w:t>。</w:t>
      </w:r>
    </w:p>
    <w:p w14:paraId="708492A6">
      <w:pPr>
        <w:pStyle w:val="3"/>
        <w:rPr>
          <w:rFonts w:ascii="Times New Roman" w:eastAsia="楷体_GB2312"/>
        </w:rPr>
      </w:pPr>
      <w:r>
        <w:rPr>
          <w:rFonts w:ascii="Times New Roman" w:eastAsia="楷体_GB2312"/>
        </w:rPr>
        <w:t>（二）间接原因</w:t>
      </w:r>
      <w:bookmarkEnd w:id="28"/>
    </w:p>
    <w:p w14:paraId="6131A8AA">
      <w:pPr>
        <w:ind w:firstLine="640"/>
        <w:rPr>
          <w:rFonts w:cs="Times New Roman"/>
        </w:rPr>
      </w:pPr>
      <w:r>
        <w:rPr>
          <w:rFonts w:hAnsi="仿宋_GB2312" w:cs="Times New Roman"/>
          <w:szCs w:val="32"/>
        </w:rPr>
        <w:t>亚东工业（苏州）有限公司对</w:t>
      </w:r>
      <w:r>
        <w:rPr>
          <w:rFonts w:hAnsi="仿宋_GB2312" w:cs="Times New Roman"/>
        </w:rPr>
        <w:t>事发设备</w:t>
      </w:r>
      <w:r>
        <w:rPr>
          <w:rFonts w:hAnsi="仿宋_GB2312" w:cs="Times New Roman"/>
          <w:szCs w:val="32"/>
        </w:rPr>
        <w:t>设置了急停按钮和急停拉绳，但是设置位置位于二层上下楼梯的底部，远远超出了作业人员的可触及范围</w:t>
      </w:r>
      <w:r>
        <w:rPr>
          <w:rStyle w:val="29"/>
          <w:rFonts w:eastAsia="仿宋_GB2312" w:cs="Times New Roman"/>
          <w:sz w:val="32"/>
          <w:szCs w:val="32"/>
        </w:rPr>
        <w:footnoteReference w:id="1"/>
      </w:r>
      <w:r>
        <w:rPr>
          <w:rFonts w:hAnsi="仿宋_GB2312" w:cs="Times New Roman"/>
          <w:szCs w:val="32"/>
        </w:rPr>
        <w:t>，</w:t>
      </w:r>
      <w:r>
        <w:rPr>
          <w:rFonts w:cs="Times New Roman"/>
          <w:szCs w:val="32"/>
        </w:rPr>
        <w:t>2</w:t>
      </w:r>
      <w:r>
        <w:rPr>
          <w:rFonts w:hAnsi="仿宋_GB2312" w:cs="Times New Roman"/>
          <w:szCs w:val="32"/>
        </w:rPr>
        <w:t>浴浸胶站生产现场未在作业区域内设置明显的安全操作规程和安全警示标志</w:t>
      </w:r>
      <w:r>
        <w:rPr>
          <w:rStyle w:val="29"/>
          <w:rFonts w:eastAsia="仿宋_GB2312" w:cs="Times New Roman"/>
          <w:sz w:val="32"/>
          <w:szCs w:val="32"/>
        </w:rPr>
        <w:footnoteReference w:id="2"/>
      </w:r>
      <w:r>
        <w:rPr>
          <w:rFonts w:hAnsi="仿宋_GB2312" w:cs="Times New Roman"/>
          <w:szCs w:val="32"/>
        </w:rPr>
        <w:t>，教育和培训档案未见机械伤害和作业指导书的培训记录</w:t>
      </w:r>
      <w:r>
        <w:rPr>
          <w:rStyle w:val="29"/>
          <w:rFonts w:eastAsia="仿宋_GB2312" w:cs="Times New Roman"/>
          <w:sz w:val="32"/>
          <w:szCs w:val="32"/>
        </w:rPr>
        <w:footnoteReference w:id="3"/>
      </w:r>
      <w:r>
        <w:rPr>
          <w:rFonts w:hAnsi="仿宋_GB2312" w:cs="Times New Roman"/>
          <w:szCs w:val="32"/>
        </w:rPr>
        <w:t>，</w:t>
      </w:r>
      <w:r>
        <w:rPr>
          <w:rFonts w:cs="Times New Roman"/>
        </w:rPr>
        <w:t xml:space="preserve"> </w:t>
      </w:r>
      <w:r>
        <w:rPr>
          <w:rFonts w:hAnsi="仿宋_GB2312" w:cs="Times New Roman"/>
          <w:szCs w:val="32"/>
        </w:rPr>
        <w:t>安全生产教育和培训不到位，未与李</w:t>
      </w:r>
      <w:r>
        <w:rPr>
          <w:rFonts w:hint="eastAsia" w:eastAsia="仿宋_GB2312"/>
          <w:sz w:val="32"/>
          <w:szCs w:val="32"/>
          <w:lang w:eastAsia="zh-CN"/>
        </w:rPr>
        <w:t>某</w:t>
      </w:r>
      <w:r>
        <w:rPr>
          <w:rFonts w:hAnsi="仿宋_GB2312" w:cs="Times New Roman"/>
          <w:szCs w:val="32"/>
        </w:rPr>
        <w:t>签订安全生产责任书</w:t>
      </w:r>
      <w:r>
        <w:rPr>
          <w:rStyle w:val="29"/>
          <w:rFonts w:eastAsia="仿宋_GB2312" w:cs="Times New Roman"/>
          <w:sz w:val="32"/>
          <w:szCs w:val="32"/>
        </w:rPr>
        <w:footnoteReference w:id="4"/>
      </w:r>
      <w:r>
        <w:rPr>
          <w:rFonts w:hAnsi="仿宋_GB2312" w:cs="Times New Roman"/>
          <w:szCs w:val="32"/>
        </w:rPr>
        <w:t>，未及时发现作业人员违章作业行为，现场安全监督检查不力，企业</w:t>
      </w:r>
      <w:r>
        <w:rPr>
          <w:rFonts w:cs="Times New Roman"/>
          <w:szCs w:val="32"/>
        </w:rPr>
        <w:t>安全生产主体</w:t>
      </w:r>
      <w:r>
        <w:rPr>
          <w:rFonts w:hAnsi="仿宋_GB2312" w:cs="Times New Roman"/>
          <w:szCs w:val="32"/>
        </w:rPr>
        <w:t>责任落实不到位。</w:t>
      </w:r>
    </w:p>
    <w:p w14:paraId="5F1C635C">
      <w:pPr>
        <w:ind w:firstLine="640"/>
        <w:rPr>
          <w:rFonts w:eastAsia="黑体" w:cs="Times New Roman"/>
          <w:kern w:val="44"/>
        </w:rPr>
      </w:pPr>
      <w:r>
        <w:rPr>
          <w:rFonts w:eastAsia="黑体" w:cs="Times New Roman"/>
          <w:kern w:val="44"/>
        </w:rPr>
        <w:t>三、监管部门履职情况</w:t>
      </w:r>
    </w:p>
    <w:p w14:paraId="3E80F216">
      <w:pPr>
        <w:ind w:firstLine="640"/>
        <w:rPr>
          <w:rFonts w:cs="仿宋_GB2312"/>
          <w:bCs/>
          <w:szCs w:val="32"/>
        </w:rPr>
      </w:pPr>
      <w:r>
        <w:rPr>
          <w:rFonts w:hint="eastAsia" w:cs="仿宋_GB2312"/>
          <w:bCs/>
          <w:szCs w:val="32"/>
        </w:rPr>
        <w:t>1.</w:t>
      </w:r>
      <w:r>
        <w:rPr>
          <w:rFonts w:hint="eastAsia" w:ascii="楷体_GB2312" w:eastAsia="楷体_GB2312" w:cs="仿宋_GB2312"/>
          <w:bCs/>
          <w:szCs w:val="32"/>
        </w:rPr>
        <w:t>化管办监管履职情况</w:t>
      </w:r>
    </w:p>
    <w:p w14:paraId="25E978E4">
      <w:pPr>
        <w:ind w:firstLine="640"/>
        <w:rPr>
          <w:rFonts w:cs="仿宋_GB2312"/>
          <w:b/>
          <w:szCs w:val="32"/>
          <w:highlight w:val="red"/>
        </w:rPr>
      </w:pPr>
      <w:r>
        <w:rPr>
          <w:rFonts w:hint="eastAsia" w:cs="仿宋_GB2312"/>
          <w:bCs/>
          <w:szCs w:val="32"/>
        </w:rPr>
        <w:t>今年以来，化管办共召开安全生产监管科工作例会6次，</w:t>
      </w:r>
      <w:r>
        <w:rPr>
          <w:rFonts w:hint="eastAsia" w:cs="仿宋_GB2312"/>
          <w:szCs w:val="32"/>
        </w:rPr>
        <w:t>领导</w:t>
      </w:r>
      <w:r>
        <w:rPr>
          <w:rFonts w:hint="eastAsia" w:cs="仿宋_GB2312"/>
          <w:bCs/>
          <w:szCs w:val="32"/>
        </w:rPr>
        <w:t>带队</w:t>
      </w:r>
      <w:r>
        <w:rPr>
          <w:rFonts w:hint="eastAsia" w:cs="仿宋_GB2312"/>
          <w:szCs w:val="32"/>
        </w:rPr>
        <w:t>开展节假日检查5次，共检查企业15家，发现隐患37条，消除隐患37条。开展日常检查企业241家次，发现隐患913条，消除隐患872条，隐患消除率95.5%，未整改的隐患均已督促企业限期改正；其中检查</w:t>
      </w:r>
      <w:r>
        <w:rPr>
          <w:rFonts w:hint="eastAsia" w:cs="仿宋_GB2312"/>
          <w:bCs/>
          <w:szCs w:val="32"/>
        </w:rPr>
        <w:t>化工企业</w:t>
      </w:r>
      <w:r>
        <w:rPr>
          <w:rFonts w:hint="eastAsia" w:cs="仿宋_GB2312"/>
          <w:szCs w:val="32"/>
        </w:rPr>
        <w:t>26家次，发现隐患85条，消除隐患85条，隐患消除率100%。</w:t>
      </w:r>
      <w:r>
        <w:rPr>
          <w:rFonts w:hint="eastAsia" w:cs="仿宋_GB2312"/>
          <w:bCs/>
          <w:szCs w:val="32"/>
        </w:rPr>
        <w:t>对日常检查中风险隐患多、隐患整改不力或拒不整改的企业开展安全警示约谈，共约谈企业8家。开展执法检查企业9家，发现隐患25条，行政处罚立案2起，累计处罚金额2.76万元，整改复查企业9家，消除隐患25条。</w:t>
      </w:r>
    </w:p>
    <w:p w14:paraId="76A82D4B">
      <w:pPr>
        <w:widowControl/>
        <w:ind w:firstLine="0" w:firstLineChars="0"/>
        <w:rPr>
          <w:rFonts w:cs="仿宋_GB2312"/>
          <w:bCs/>
          <w:szCs w:val="32"/>
          <w:highlight w:val="yellow"/>
        </w:rPr>
      </w:pPr>
      <w:r>
        <w:rPr>
          <w:rFonts w:hint="eastAsia" w:cs="仿宋_GB2312"/>
          <w:szCs w:val="32"/>
        </w:rPr>
        <w:t>组织企业安全生产教育培训5场，累计参与300余人次，监管人员教育培训1场，参与28人次。</w:t>
      </w:r>
    </w:p>
    <w:p w14:paraId="09D274BE">
      <w:pPr>
        <w:ind w:firstLine="640"/>
        <w:rPr>
          <w:rFonts w:eastAsia="黑体" w:cs="Times New Roman"/>
          <w:kern w:val="44"/>
        </w:rPr>
      </w:pPr>
      <w:r>
        <w:rPr>
          <w:rFonts w:hint="eastAsia" w:cs="Times New Roman"/>
          <w:szCs w:val="32"/>
        </w:rPr>
        <w:t>今年以来，</w:t>
      </w:r>
      <w:r>
        <w:rPr>
          <w:rFonts w:hint="eastAsia" w:cs="仿宋_GB2312"/>
          <w:bCs/>
          <w:szCs w:val="32"/>
        </w:rPr>
        <w:t>化管办</w:t>
      </w:r>
      <w:r>
        <w:rPr>
          <w:rFonts w:hint="eastAsia" w:cs="Times New Roman"/>
          <w:szCs w:val="32"/>
        </w:rPr>
        <w:t>对亚东工业（苏州）有限公司</w:t>
      </w:r>
      <w:r>
        <w:rPr>
          <w:rFonts w:cs="Times New Roman"/>
          <w:szCs w:val="32"/>
        </w:rPr>
        <w:t>共开展日常检查巡查5次，节假日检查2次，发现一般安全隐患14项，</w:t>
      </w:r>
      <w:r>
        <w:rPr>
          <w:rFonts w:hint="eastAsia" w:cs="Times New Roman"/>
          <w:szCs w:val="32"/>
        </w:rPr>
        <w:t>均已整改到位</w:t>
      </w:r>
      <w:r>
        <w:rPr>
          <w:rFonts w:cs="Times New Roman"/>
          <w:szCs w:val="32"/>
        </w:rPr>
        <w:t>。​</w:t>
      </w:r>
    </w:p>
    <w:p w14:paraId="1C106A4A">
      <w:pPr>
        <w:pStyle w:val="2"/>
        <w:keepNext w:val="0"/>
        <w:keepLines w:val="0"/>
        <w:ind w:firstLine="640"/>
        <w:rPr>
          <w:rFonts w:ascii="Times New Roman" w:hAnsi="Times New Roman" w:cs="Times New Roman"/>
        </w:rPr>
      </w:pPr>
      <w:bookmarkStart w:id="29" w:name="_Toc256000022"/>
      <w:r>
        <w:rPr>
          <w:rFonts w:ascii="Times New Roman" w:hAnsi="Times New Roman" w:cs="Times New Roman"/>
        </w:rPr>
        <w:t>四、对有关责任人员和责任单位的处理建议</w:t>
      </w:r>
      <w:bookmarkEnd w:id="29"/>
    </w:p>
    <w:p w14:paraId="4DF1605C">
      <w:pPr>
        <w:tabs>
          <w:tab w:val="left" w:pos="3052"/>
        </w:tabs>
        <w:ind w:firstLine="640"/>
        <w:jc w:val="left"/>
        <w:rPr>
          <w:rFonts w:cs="Times New Roman"/>
          <w:bCs/>
        </w:rPr>
      </w:pPr>
      <w:r>
        <w:rPr>
          <w:rFonts w:cs="Times New Roman"/>
        </w:rPr>
        <w:t>1.</w:t>
      </w:r>
      <w:r>
        <w:rPr>
          <w:rFonts w:hint="eastAsia" w:cs="Times New Roman"/>
          <w:color w:val="000000" w:themeColor="text1"/>
          <w:szCs w:val="32"/>
        </w:rPr>
        <w:t>李</w:t>
      </w:r>
      <w:r>
        <w:rPr>
          <w:rFonts w:hint="eastAsia" w:eastAsia="仿宋_GB2312"/>
          <w:sz w:val="32"/>
          <w:szCs w:val="32"/>
          <w:lang w:eastAsia="zh-CN"/>
        </w:rPr>
        <w:t>某</w:t>
      </w:r>
      <w:r>
        <w:rPr>
          <w:rFonts w:cs="Times New Roman"/>
        </w:rPr>
        <w:t>，</w:t>
      </w:r>
      <w:r>
        <w:rPr>
          <w:rFonts w:hint="eastAsia" w:cs="Times New Roman"/>
          <w:szCs w:val="32"/>
        </w:rPr>
        <w:t>亚东工业（苏州）有限公司操作工</w:t>
      </w:r>
      <w:r>
        <w:rPr>
          <w:rFonts w:hint="eastAsia" w:cs="Times New Roman"/>
        </w:rPr>
        <w:t>，</w:t>
      </w:r>
      <w:r>
        <w:rPr>
          <w:rFonts w:cs="Times New Roman"/>
          <w:color w:val="000000" w:themeColor="text1"/>
          <w:szCs w:val="32"/>
        </w:rPr>
        <w:t>安全意识淡薄，</w:t>
      </w:r>
      <w:r>
        <w:rPr>
          <w:rFonts w:hint="eastAsia" w:cs="Times New Roman"/>
          <w:color w:val="000000" w:themeColor="text1"/>
          <w:szCs w:val="32"/>
        </w:rPr>
        <w:t>违反公司制定的生产作业指导书，在设备运行</w:t>
      </w:r>
      <w:r>
        <w:rPr>
          <w:rFonts w:hint="eastAsia" w:cs="Times New Roman"/>
          <w:color w:val="000000" w:themeColor="text1"/>
          <w:szCs w:val="32"/>
          <w:lang w:eastAsia="zh-CN"/>
        </w:rPr>
        <w:t>状态</w:t>
      </w:r>
      <w:r>
        <w:rPr>
          <w:rFonts w:hint="eastAsia" w:cs="Times New Roman"/>
          <w:color w:val="000000" w:themeColor="text1"/>
          <w:szCs w:val="32"/>
        </w:rPr>
        <w:t>下进行罗拉清洗作业</w:t>
      </w:r>
      <w:r>
        <w:rPr>
          <w:rFonts w:cs="Times New Roman"/>
          <w:color w:val="000000" w:themeColor="text1"/>
          <w:szCs w:val="32"/>
        </w:rPr>
        <w:t>，</w:t>
      </w:r>
      <w:r>
        <w:rPr>
          <w:rFonts w:cs="Times New Roman"/>
          <w:bCs/>
        </w:rPr>
        <w:t>对该起事故负有责任，鉴于其已在事故中死亡，建议不再进行责任追究。</w:t>
      </w:r>
    </w:p>
    <w:p w14:paraId="7E47A7F7">
      <w:pPr>
        <w:ind w:firstLine="640"/>
        <w:rPr>
          <w:rFonts w:cs="Times New Roman"/>
          <w:szCs w:val="32"/>
        </w:rPr>
      </w:pPr>
      <w:r>
        <w:rPr>
          <w:rFonts w:cs="Times New Roman"/>
        </w:rPr>
        <w:t>2.</w:t>
      </w:r>
      <w:r>
        <w:rPr>
          <w:rFonts w:hint="eastAsia" w:cs="Times New Roman"/>
          <w:szCs w:val="32"/>
        </w:rPr>
        <w:t>亚东工业（苏州）有限公司对事发设备</w:t>
      </w:r>
      <w:r>
        <w:rPr>
          <w:rFonts w:hint="eastAsia" w:ascii="仿宋_GB2312" w:hAnsi="仿宋_GB2312" w:cs="仿宋_GB2312"/>
          <w:szCs w:val="32"/>
        </w:rPr>
        <w:t>急停按钮及急停拉绳等现场应急处置措施设置不合理，</w:t>
      </w:r>
      <w:r>
        <w:rPr>
          <w:rFonts w:hint="eastAsia" w:cs="Times New Roman"/>
          <w:szCs w:val="32"/>
        </w:rPr>
        <w:t>作业区域未</w:t>
      </w:r>
      <w:r>
        <w:rPr>
          <w:rFonts w:hint="eastAsia" w:ascii="仿宋_GB2312" w:hAnsi="仿宋_GB2312" w:cs="仿宋_GB2312"/>
          <w:szCs w:val="32"/>
        </w:rPr>
        <w:t>设置明显的安全操作规程和安全警示标志，</w:t>
      </w:r>
      <w:r>
        <w:rPr>
          <w:rFonts w:hint="eastAsia" w:ascii="仿宋_GB2312" w:hAnsi="宋体" w:cs="仿宋_GB2312"/>
          <w:color w:val="000000"/>
          <w:szCs w:val="32"/>
        </w:rPr>
        <w:t>教育和培训档案</w:t>
      </w:r>
      <w:r>
        <w:rPr>
          <w:rFonts w:hint="eastAsia" w:cs="Times New Roman"/>
          <w:szCs w:val="32"/>
        </w:rPr>
        <w:t>未见机械伤害和作业指导书的培训记录，安全生产教育和培训不到位，未与李</w:t>
      </w:r>
      <w:r>
        <w:rPr>
          <w:rFonts w:hint="eastAsia" w:eastAsia="仿宋_GB2312"/>
          <w:sz w:val="32"/>
          <w:szCs w:val="32"/>
          <w:lang w:eastAsia="zh-CN"/>
        </w:rPr>
        <w:t>某</w:t>
      </w:r>
      <w:r>
        <w:rPr>
          <w:rFonts w:hint="eastAsia" w:cs="Times New Roman"/>
          <w:szCs w:val="32"/>
        </w:rPr>
        <w:t>签订安全生产责任书，未及时发现作业人员违章作业行为，现场安全监督检查不力，</w:t>
      </w:r>
      <w:r>
        <w:rPr>
          <w:rFonts w:cs="Times New Roman"/>
          <w:color w:val="000000" w:themeColor="text1"/>
          <w:szCs w:val="32"/>
        </w:rPr>
        <w:t>对该起事故负有责任，建议苏州市</w:t>
      </w:r>
      <w:r>
        <w:rPr>
          <w:rFonts w:cs="Times New Roman"/>
          <w:szCs w:val="32"/>
        </w:rPr>
        <w:t>吴中区应急管理局依法对</w:t>
      </w:r>
      <w:r>
        <w:rPr>
          <w:rFonts w:hint="eastAsia" w:cs="Times New Roman"/>
          <w:szCs w:val="32"/>
        </w:rPr>
        <w:t>亚东工业（苏州）有限公司</w:t>
      </w:r>
      <w:r>
        <w:rPr>
          <w:rFonts w:cs="Times New Roman"/>
          <w:szCs w:val="32"/>
        </w:rPr>
        <w:t>给予行政处罚。</w:t>
      </w:r>
    </w:p>
    <w:p w14:paraId="57BFB9FF">
      <w:pPr>
        <w:ind w:firstLine="640"/>
        <w:rPr>
          <w:rFonts w:cs="Times New Roman"/>
          <w:szCs w:val="32"/>
        </w:rPr>
      </w:pPr>
      <w:r>
        <w:rPr>
          <w:rFonts w:hint="eastAsia" w:cs="Times New Roman"/>
          <w:szCs w:val="32"/>
        </w:rPr>
        <w:t>3</w:t>
      </w:r>
      <w:r>
        <w:rPr>
          <w:rFonts w:cs="Times New Roman"/>
          <w:szCs w:val="32"/>
        </w:rPr>
        <w:t>.对有关人员的党政纪处分和有关单位的处理意见，由区纪委监委提出。</w:t>
      </w:r>
    </w:p>
    <w:p w14:paraId="7363EFBA">
      <w:pPr>
        <w:pStyle w:val="2"/>
        <w:keepNext w:val="0"/>
        <w:keepLines w:val="0"/>
        <w:ind w:firstLine="640"/>
        <w:rPr>
          <w:rFonts w:ascii="Times New Roman" w:hAnsi="Times New Roman" w:cs="Times New Roman"/>
        </w:rPr>
      </w:pPr>
      <w:bookmarkStart w:id="30" w:name="_Toc256000030"/>
      <w:r>
        <w:rPr>
          <w:rFonts w:ascii="Times New Roman" w:hAnsi="Times New Roman" w:cs="Times New Roman"/>
        </w:rPr>
        <w:t>五、事故整改和防范措施</w:t>
      </w:r>
      <w:bookmarkEnd w:id="30"/>
    </w:p>
    <w:p w14:paraId="368B4242">
      <w:pPr>
        <w:ind w:firstLine="640"/>
        <w:rPr>
          <w:rFonts w:eastAsia="楷体_GB2312" w:cs="Times New Roman"/>
          <w:bCs/>
          <w:szCs w:val="32"/>
        </w:rPr>
      </w:pPr>
      <w:r>
        <w:rPr>
          <w:rFonts w:eastAsia="楷体_GB2312" w:cs="Times New Roman"/>
          <w:bCs/>
          <w:szCs w:val="32"/>
        </w:rPr>
        <w:t>1.严格落实企业安全生产主体责任。</w:t>
      </w:r>
      <w:r>
        <w:rPr>
          <w:rFonts w:hint="eastAsia" w:ascii="仿宋_GB2312" w:hAnsi="仿宋_GB2312" w:cs="仿宋_GB2312"/>
          <w:szCs w:val="32"/>
        </w:rPr>
        <w:t>亚东工业（苏州）有限公司要深刻吸取事故教训，组织开展安全风险辨识工作，排查公司现有的所有设备，对发现的安全措施不到位、现场应急处置措施设置不合理等情况要立即进行整改，在作业区域设置明显的安全操作规程和警示标志，结合作业人员岗位特点进行针对性的安全生产教育和培训，</w:t>
      </w:r>
      <w:r>
        <w:rPr>
          <w:szCs w:val="32"/>
        </w:rPr>
        <w:t>确保每位员工都能理解和掌握</w:t>
      </w:r>
      <w:r>
        <w:rPr>
          <w:rFonts w:hint="eastAsia"/>
          <w:szCs w:val="32"/>
        </w:rPr>
        <w:t>设备操作规程</w:t>
      </w:r>
      <w:r>
        <w:rPr>
          <w:szCs w:val="32"/>
        </w:rPr>
        <w:t>，</w:t>
      </w:r>
      <w:r>
        <w:rPr>
          <w:rFonts w:hint="eastAsia" w:ascii="仿宋_GB2312" w:hAnsi="仿宋_GB2312" w:cs="仿宋_GB2312"/>
          <w:szCs w:val="32"/>
        </w:rPr>
        <w:t>签订全员安全生产责任制，明确各岗位的责任人员、责任范围和考核标准等内容，确保全员安全生产责任制的落实，</w:t>
      </w:r>
      <w:r>
        <w:rPr>
          <w:rFonts w:hint="eastAsia"/>
          <w:szCs w:val="32"/>
        </w:rPr>
        <w:t>加大对现场的隐患排查治理力度</w:t>
      </w:r>
      <w:r>
        <w:rPr>
          <w:rFonts w:hint="eastAsia" w:ascii="仿宋_GB2312" w:hAnsi="仿宋_GB2312" w:cs="仿宋_GB2312"/>
          <w:szCs w:val="32"/>
        </w:rPr>
        <w:t>，及时发现并制止“三违”情况，防止类似事故的发生。</w:t>
      </w:r>
    </w:p>
    <w:p w14:paraId="0CA480FF">
      <w:pPr>
        <w:ind w:firstLine="640"/>
        <w:rPr>
          <w:rFonts w:eastAsia="楷体_GB2312" w:cs="Times New Roman"/>
          <w:bCs/>
          <w:kern w:val="0"/>
          <w:szCs w:val="32"/>
        </w:rPr>
      </w:pPr>
      <w:r>
        <w:rPr>
          <w:rFonts w:eastAsia="楷体_GB2312" w:cs="Times New Roman"/>
        </w:rPr>
        <w:t>2.</w:t>
      </w:r>
      <w:r>
        <w:rPr>
          <w:rFonts w:eastAsia="楷体_GB2312" w:cs="Times New Roman"/>
          <w:bCs/>
          <w:kern w:val="0"/>
          <w:szCs w:val="32"/>
        </w:rPr>
        <w:t>严格落实</w:t>
      </w:r>
      <w:r>
        <w:rPr>
          <w:rFonts w:hint="eastAsia" w:eastAsia="楷体_GB2312" w:cs="Times New Roman"/>
          <w:bCs/>
          <w:kern w:val="0"/>
          <w:szCs w:val="32"/>
        </w:rPr>
        <w:t>行业部门和</w:t>
      </w:r>
      <w:r>
        <w:rPr>
          <w:rFonts w:eastAsia="楷体_GB2312" w:cs="Times New Roman"/>
          <w:bCs/>
          <w:kern w:val="0"/>
          <w:szCs w:val="32"/>
        </w:rPr>
        <w:t>属地安全监管责任。</w:t>
      </w:r>
      <w:r>
        <w:rPr>
          <w:rFonts w:hint="eastAsia"/>
          <w:szCs w:val="32"/>
        </w:rPr>
        <w:t>应急管理部门</w:t>
      </w:r>
      <w:r>
        <w:rPr>
          <w:szCs w:val="32"/>
        </w:rPr>
        <w:t>要</w:t>
      </w:r>
      <w:r>
        <w:rPr>
          <w:rFonts w:hint="eastAsia"/>
          <w:szCs w:val="32"/>
        </w:rPr>
        <w:t>贯彻落实工业企业安全生产“六化”工作要求</w:t>
      </w:r>
      <w:r>
        <w:rPr>
          <w:szCs w:val="32"/>
        </w:rPr>
        <w:t>，</w:t>
      </w:r>
      <w:r>
        <w:rPr>
          <w:rFonts w:hint="eastAsia"/>
          <w:szCs w:val="32"/>
        </w:rPr>
        <w:t>加强入企指导，督促企业落实“全员化、实体化、手册化”，切实提升企业本质安全水平。化管办</w:t>
      </w:r>
      <w:r>
        <w:rPr>
          <w:szCs w:val="32"/>
        </w:rPr>
        <w:t>要督促</w:t>
      </w:r>
      <w:r>
        <w:rPr>
          <w:rFonts w:hint="eastAsia" w:ascii="仿宋_GB2312" w:hAnsi="仿宋_GB2312" w:cs="仿宋_GB2312"/>
          <w:szCs w:val="32"/>
        </w:rPr>
        <w:t>亚东工业（苏州）有限公司</w:t>
      </w:r>
      <w:r>
        <w:rPr>
          <w:szCs w:val="32"/>
        </w:rPr>
        <w:t>做好整改工作，</w:t>
      </w:r>
      <w:r>
        <w:rPr>
          <w:rFonts w:hint="eastAsia"/>
          <w:szCs w:val="32"/>
        </w:rPr>
        <w:t>加大对辖区内同类型企业的安全监督检查力度，推动企业建立完善生产经营单位事故隐患内部报告奖励机制并确保有效实施，鼓励从业人员查找身边隐患，压实企业安全生产主体责任，</w:t>
      </w:r>
      <w:r>
        <w:rPr>
          <w:szCs w:val="32"/>
        </w:rPr>
        <w:t>杜绝类似事故的发生。</w:t>
      </w:r>
    </w:p>
    <w:p w14:paraId="1C3B5710">
      <w:pPr>
        <w:pStyle w:val="8"/>
        <w:spacing w:after="0"/>
        <w:ind w:firstLine="640"/>
        <w:rPr>
          <w:rFonts w:ascii="仿宋_GB2312" w:hAnsi="仿宋_GB2312" w:eastAsia="仿宋_GB2312" w:cs="仿宋_GB2312"/>
          <w:szCs w:val="32"/>
        </w:rPr>
      </w:pPr>
    </w:p>
    <w:p w14:paraId="3F3213DA">
      <w:pPr>
        <w:ind w:firstLine="640"/>
        <w:rPr>
          <w:rFonts w:cs="Times New Roman"/>
        </w:rPr>
      </w:pPr>
    </w:p>
    <w:p w14:paraId="3F294347">
      <w:pPr>
        <w:ind w:firstLine="640"/>
        <w:rPr>
          <w:rFonts w:cs="Times New Roman"/>
        </w:rPr>
      </w:pPr>
    </w:p>
    <w:p w14:paraId="02C11D61">
      <w:pPr>
        <w:ind w:left="4800" w:leftChars="1000" w:hanging="1600" w:hangingChars="500"/>
        <w:jc w:val="left"/>
        <w:rPr>
          <w:rFonts w:cs="Times New Roman"/>
          <w:szCs w:val="32"/>
        </w:rPr>
      </w:pPr>
      <w:r>
        <w:rPr>
          <w:rFonts w:cs="Times New Roman"/>
          <w:szCs w:val="32"/>
        </w:rPr>
        <w:t>吴中郭巷亚东工业（苏州）有限公司</w:t>
      </w:r>
    </w:p>
    <w:p w14:paraId="5DB224E9">
      <w:pPr>
        <w:ind w:right="800" w:firstLine="0" w:firstLineChars="0"/>
        <w:jc w:val="right"/>
        <w:rPr>
          <w:rFonts w:cs="Times New Roman"/>
          <w:szCs w:val="32"/>
        </w:rPr>
      </w:pPr>
      <w:r>
        <w:rPr>
          <w:rFonts w:cs="Times New Roman"/>
          <w:szCs w:val="32"/>
        </w:rPr>
        <w:t>“6•11”一般机械伤害事故</w:t>
      </w:r>
      <w:r>
        <w:rPr>
          <w:rFonts w:cs="Times New Roman"/>
          <w:color w:val="000000"/>
          <w:szCs w:val="32"/>
        </w:rPr>
        <w:t>调查</w:t>
      </w:r>
      <w:r>
        <w:rPr>
          <w:rFonts w:cs="Times New Roman"/>
          <w:szCs w:val="32"/>
        </w:rPr>
        <w:t>组</w:t>
      </w:r>
    </w:p>
    <w:bookmarkEnd w:id="1"/>
    <w:bookmarkEnd w:id="2"/>
    <w:p w14:paraId="220D9504">
      <w:pPr>
        <w:ind w:right="640" w:firstLine="4678" w:firstLineChars="1462"/>
        <w:rPr>
          <w:rFonts w:cs="Times New Roman"/>
        </w:rPr>
      </w:pPr>
      <w:bookmarkStart w:id="31" w:name="_GoBack"/>
      <w:bookmarkEnd w:id="31"/>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cs="Times New Roman" w:asciiTheme="minorHAnsi" w:hAnsiTheme="minorHAnsi" w:eastAsiaTheme="minorEastAsia"/>
        <w:sz w:val="22"/>
        <w:szCs w:val="22"/>
      </w:rPr>
      <w:id w:val="2147462903"/>
    </w:sdtPr>
    <w:sdtEndPr>
      <w:rPr>
        <w:rFonts w:asciiTheme="majorHAnsi" w:hAnsiTheme="majorHAnsi" w:eastAsiaTheme="majorEastAsia" w:cstheme="majorBidi"/>
        <w:sz w:val="40"/>
        <w:szCs w:val="40"/>
      </w:rPr>
    </w:sdtEndPr>
    <w:sdtContent>
      <w:p w14:paraId="05D8AE57">
        <w:pPr>
          <w:pStyle w:val="14"/>
          <w:rPr>
            <w:rFonts w:asciiTheme="majorHAnsi" w:hAnsiTheme="majorHAnsi" w:eastAsiaTheme="majorEastAsia" w:cstheme="majorBidi"/>
            <w:sz w:val="40"/>
            <w:szCs w:val="40"/>
          </w:rPr>
        </w:pPr>
        <w:r>
          <w:rPr>
            <w:rFonts w:cs="Times New Roman" w:asciiTheme="minorHAnsi" w:hAnsiTheme="minorHAnsi" w:eastAsiaTheme="minorEastAsia"/>
          </w:rPr>
          <w:fldChar w:fldCharType="begin"/>
        </w:r>
        <w:r>
          <w:instrText xml:space="preserve">PAGE   \* MERGEFORMAT</w:instrText>
        </w:r>
        <w:r>
          <w:rPr>
            <w:rFonts w:cs="Times New Roman" w:asciiTheme="minorHAnsi" w:hAnsiTheme="minorHAnsi" w:eastAsiaTheme="minorEastAsia"/>
          </w:rPr>
          <w:fldChar w:fldCharType="separate"/>
        </w:r>
        <w:r>
          <w:rPr>
            <w:rFonts w:asciiTheme="majorHAnsi" w:hAnsiTheme="majorHAnsi" w:eastAsiaTheme="majorEastAsia" w:cstheme="majorBidi"/>
            <w:lang w:val="zh-CN"/>
          </w:rPr>
          <w:t>14</w:t>
        </w:r>
        <w:r>
          <w:rPr>
            <w:rFonts w:asciiTheme="majorHAnsi" w:hAnsiTheme="majorHAnsi" w:eastAsiaTheme="majorEastAsia" w:cstheme="majorBidi"/>
          </w:rPr>
          <w:fldChar w:fldCharType="end"/>
        </w:r>
      </w:p>
    </w:sdtContent>
  </w:sdt>
  <w:p w14:paraId="7DC320B1">
    <w:pPr>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897F1">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062B4">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pPr>
        <w:spacing w:line="240" w:lineRule="auto"/>
        <w:ind w:firstLine="640"/>
      </w:pPr>
      <w:r>
        <w:separator/>
      </w:r>
    </w:p>
  </w:footnote>
  <w:footnote w:type="continuationSeparator" w:id="11">
    <w:p>
      <w:pPr>
        <w:spacing w:line="240" w:lineRule="auto"/>
        <w:ind w:firstLine="640"/>
      </w:pPr>
      <w:r>
        <w:continuationSeparator/>
      </w:r>
    </w:p>
  </w:footnote>
  <w:footnote w:id="0">
    <w:p w14:paraId="21694473">
      <w:pPr>
        <w:pStyle w:val="18"/>
        <w:snapToGrid/>
        <w:spacing w:line="240" w:lineRule="exact"/>
        <w:rPr>
          <w:rFonts w:cs="Times New Roman" w:eastAsiaTheme="minorEastAsia"/>
        </w:rPr>
      </w:pPr>
      <w:r>
        <w:rPr>
          <w:rFonts w:cs="Times New Roman" w:eastAsiaTheme="minorEastAsia"/>
        </w:rPr>
        <w:t>1.</w:t>
      </w:r>
      <w:r>
        <w:rPr>
          <w:rFonts w:cs="Times New Roman" w:hAnsiTheme="minorEastAsia" w:eastAsiaTheme="minorEastAsia"/>
        </w:rPr>
        <w:t>《中华人民共和国安全生产法》第五十七条：作业人员在作业过程中，应当严格落实岗位安全责任，遵守本单位的安全生产规章制度和操作规程，服从管理，正确佩戴和使用劳动防护用品。</w:t>
      </w:r>
    </w:p>
  </w:footnote>
  <w:footnote w:id="1">
    <w:p w14:paraId="754C93A8">
      <w:pPr>
        <w:pStyle w:val="18"/>
        <w:snapToGrid/>
        <w:spacing w:line="240" w:lineRule="exact"/>
        <w:rPr>
          <w:rFonts w:cs="Times New Roman" w:eastAsiaTheme="minorEastAsia"/>
        </w:rPr>
      </w:pPr>
      <w:r>
        <w:rPr>
          <w:rFonts w:cs="Times New Roman" w:eastAsiaTheme="minorEastAsia"/>
        </w:rPr>
        <w:t>2.</w:t>
      </w:r>
      <w:r>
        <w:rPr>
          <w:rFonts w:cs="Times New Roman" w:hAnsiTheme="minorEastAsia" w:eastAsiaTheme="minorEastAsia"/>
        </w:rPr>
        <w:t>《生产设备安全卫生设计总则》</w:t>
      </w:r>
      <w:r>
        <w:rPr>
          <w:rFonts w:cs="Times New Roman" w:eastAsiaTheme="minorEastAsia"/>
        </w:rPr>
        <w:t>GB5083-2023</w:t>
      </w:r>
      <w:r>
        <w:rPr>
          <w:rFonts w:cs="Times New Roman" w:hAnsiTheme="minorEastAsia" w:eastAsiaTheme="minorEastAsia"/>
        </w:rPr>
        <w:t>第</w:t>
      </w:r>
      <w:r>
        <w:rPr>
          <w:rFonts w:cs="Times New Roman" w:eastAsiaTheme="minorEastAsia"/>
        </w:rPr>
        <w:t>5.6.6.2</w:t>
      </w:r>
      <w:r>
        <w:rPr>
          <w:rFonts w:cs="Times New Roman" w:hAnsiTheme="minorEastAsia" w:eastAsiaTheme="minorEastAsia"/>
        </w:rPr>
        <w:t>条：急停装置应保证在关键控制点能及时、安全地操作</w:t>
      </w:r>
      <w:r>
        <w:rPr>
          <w:rFonts w:cs="Times New Roman" w:eastAsiaTheme="minorEastAsia"/>
        </w:rPr>
        <w:t>,</w:t>
      </w:r>
      <w:r>
        <w:rPr>
          <w:rFonts w:cs="Times New Roman" w:hAnsiTheme="minorEastAsia" w:eastAsiaTheme="minorEastAsia"/>
        </w:rPr>
        <w:t>在所有模式下均应有效</w:t>
      </w:r>
      <w:r>
        <w:rPr>
          <w:rFonts w:cs="Times New Roman" w:eastAsiaTheme="minorEastAsia"/>
        </w:rPr>
        <w:t>,</w:t>
      </w:r>
      <w:r>
        <w:rPr>
          <w:rFonts w:cs="Times New Roman" w:hAnsiTheme="minorEastAsia" w:eastAsiaTheme="minorEastAsia"/>
        </w:rPr>
        <w:t>不受其他功能干扰。第</w:t>
      </w:r>
      <w:r>
        <w:rPr>
          <w:rFonts w:cs="Times New Roman" w:eastAsiaTheme="minorEastAsia"/>
        </w:rPr>
        <w:t>6.1.1</w:t>
      </w:r>
      <w:r>
        <w:rPr>
          <w:rFonts w:cs="Times New Roman" w:hAnsiTheme="minorEastAsia" w:eastAsiaTheme="minorEastAsia"/>
        </w:rPr>
        <w:t>条：生产设备运行时可能触及并易造成人身伤害的可动零部件应配置安全卫生防护装置。</w:t>
      </w:r>
    </w:p>
  </w:footnote>
  <w:footnote w:id="2">
    <w:p w14:paraId="3B8568B6">
      <w:pPr>
        <w:pStyle w:val="18"/>
        <w:snapToGrid/>
        <w:spacing w:line="240" w:lineRule="exact"/>
        <w:rPr>
          <w:rFonts w:cs="Times New Roman" w:eastAsiaTheme="minorEastAsia"/>
        </w:rPr>
      </w:pPr>
      <w:r>
        <w:rPr>
          <w:rFonts w:cs="Times New Roman" w:eastAsiaTheme="minorEastAsia"/>
        </w:rPr>
        <w:t>3.</w:t>
      </w:r>
      <w:r>
        <w:rPr>
          <w:rFonts w:cs="Times New Roman" w:hAnsiTheme="minorEastAsia" w:eastAsiaTheme="minorEastAsia"/>
        </w:rPr>
        <w:t>《中华人民共和国安全生产法》第三十五条：生产经营单位应当在有较大危险因素的生产经营场所和有关设施、设备上，设置明显的安全警示标志。</w:t>
      </w:r>
    </w:p>
  </w:footnote>
  <w:footnote w:id="3">
    <w:p w14:paraId="292DB4E1">
      <w:pPr>
        <w:pStyle w:val="22"/>
      </w:pPr>
      <w:r>
        <w:t>4.《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4">
    <w:p w14:paraId="5B62277D">
      <w:pPr>
        <w:pStyle w:val="22"/>
      </w:pPr>
      <w:r>
        <w:t>5.《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7BAE659C">
      <w:pPr>
        <w:pStyle w:val="1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99C40">
    <w:pPr>
      <w:ind w:left="64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7AC05">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4BE51">
    <w:pPr>
      <w:pStyle w:val="1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10"/>
    <w:footnote w:id="1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WRmNWE0M2E1NzFkODAxNjJlODJmNzI0ODZiNGM4ZmYifQ=="/>
  </w:docVars>
  <w:rsids>
    <w:rsidRoot w:val="0061758D"/>
    <w:rsid w:val="00001A94"/>
    <w:rsid w:val="00005068"/>
    <w:rsid w:val="00014E95"/>
    <w:rsid w:val="00015881"/>
    <w:rsid w:val="0002405D"/>
    <w:rsid w:val="00033C27"/>
    <w:rsid w:val="00033EEA"/>
    <w:rsid w:val="0005432B"/>
    <w:rsid w:val="000566EE"/>
    <w:rsid w:val="00060015"/>
    <w:rsid w:val="00063B8D"/>
    <w:rsid w:val="00072808"/>
    <w:rsid w:val="000846C3"/>
    <w:rsid w:val="00084BCA"/>
    <w:rsid w:val="000853B8"/>
    <w:rsid w:val="000B01F2"/>
    <w:rsid w:val="000B2C82"/>
    <w:rsid w:val="000B3533"/>
    <w:rsid w:val="000C4C32"/>
    <w:rsid w:val="000D1DCF"/>
    <w:rsid w:val="000D2851"/>
    <w:rsid w:val="000D2F75"/>
    <w:rsid w:val="000D40C7"/>
    <w:rsid w:val="000E0101"/>
    <w:rsid w:val="000E10C0"/>
    <w:rsid w:val="000E19E6"/>
    <w:rsid w:val="000E22C4"/>
    <w:rsid w:val="000E2EAD"/>
    <w:rsid w:val="000F2729"/>
    <w:rsid w:val="00115D55"/>
    <w:rsid w:val="0011658F"/>
    <w:rsid w:val="00116F1B"/>
    <w:rsid w:val="00121334"/>
    <w:rsid w:val="00123456"/>
    <w:rsid w:val="00126B8C"/>
    <w:rsid w:val="001318B7"/>
    <w:rsid w:val="001358DA"/>
    <w:rsid w:val="0014205F"/>
    <w:rsid w:val="0014481A"/>
    <w:rsid w:val="00144CD6"/>
    <w:rsid w:val="00151457"/>
    <w:rsid w:val="001624A7"/>
    <w:rsid w:val="0016551F"/>
    <w:rsid w:val="00170B3D"/>
    <w:rsid w:val="001726EF"/>
    <w:rsid w:val="00174EF9"/>
    <w:rsid w:val="00175D79"/>
    <w:rsid w:val="00177049"/>
    <w:rsid w:val="00177067"/>
    <w:rsid w:val="00177E3D"/>
    <w:rsid w:val="00181593"/>
    <w:rsid w:val="00182742"/>
    <w:rsid w:val="00185415"/>
    <w:rsid w:val="001864D4"/>
    <w:rsid w:val="001910F3"/>
    <w:rsid w:val="00193208"/>
    <w:rsid w:val="00194112"/>
    <w:rsid w:val="0019497F"/>
    <w:rsid w:val="00197181"/>
    <w:rsid w:val="00197498"/>
    <w:rsid w:val="00197BE3"/>
    <w:rsid w:val="001B449D"/>
    <w:rsid w:val="001B4522"/>
    <w:rsid w:val="001C30E4"/>
    <w:rsid w:val="001C5A14"/>
    <w:rsid w:val="001C77C0"/>
    <w:rsid w:val="001D0E25"/>
    <w:rsid w:val="001E35DF"/>
    <w:rsid w:val="001E7CF4"/>
    <w:rsid w:val="001F6AEA"/>
    <w:rsid w:val="00203115"/>
    <w:rsid w:val="00203C05"/>
    <w:rsid w:val="00203DB7"/>
    <w:rsid w:val="002043C0"/>
    <w:rsid w:val="0020559C"/>
    <w:rsid w:val="00217420"/>
    <w:rsid w:val="00224AEE"/>
    <w:rsid w:val="00231F3F"/>
    <w:rsid w:val="00233AAB"/>
    <w:rsid w:val="00237811"/>
    <w:rsid w:val="002431F7"/>
    <w:rsid w:val="00250A72"/>
    <w:rsid w:val="00255569"/>
    <w:rsid w:val="00257800"/>
    <w:rsid w:val="00262BFD"/>
    <w:rsid w:val="00263881"/>
    <w:rsid w:val="00270ECD"/>
    <w:rsid w:val="0027214C"/>
    <w:rsid w:val="002729BD"/>
    <w:rsid w:val="0027484B"/>
    <w:rsid w:val="00281DB8"/>
    <w:rsid w:val="00281FC7"/>
    <w:rsid w:val="00291D98"/>
    <w:rsid w:val="00296837"/>
    <w:rsid w:val="002A1938"/>
    <w:rsid w:val="002A48D7"/>
    <w:rsid w:val="002A5944"/>
    <w:rsid w:val="002A6949"/>
    <w:rsid w:val="002A73F0"/>
    <w:rsid w:val="002A7831"/>
    <w:rsid w:val="002B1280"/>
    <w:rsid w:val="002B2E23"/>
    <w:rsid w:val="002D3064"/>
    <w:rsid w:val="002E3283"/>
    <w:rsid w:val="002E7301"/>
    <w:rsid w:val="002E73EA"/>
    <w:rsid w:val="002E78BA"/>
    <w:rsid w:val="00310619"/>
    <w:rsid w:val="0032258C"/>
    <w:rsid w:val="003253D2"/>
    <w:rsid w:val="0033152A"/>
    <w:rsid w:val="00336B4D"/>
    <w:rsid w:val="003428E9"/>
    <w:rsid w:val="00343BB0"/>
    <w:rsid w:val="00347402"/>
    <w:rsid w:val="003569DA"/>
    <w:rsid w:val="00361DC0"/>
    <w:rsid w:val="003670C7"/>
    <w:rsid w:val="00367802"/>
    <w:rsid w:val="003704AF"/>
    <w:rsid w:val="00374551"/>
    <w:rsid w:val="003749CC"/>
    <w:rsid w:val="00380BCC"/>
    <w:rsid w:val="00380E4B"/>
    <w:rsid w:val="0038161F"/>
    <w:rsid w:val="003A22A0"/>
    <w:rsid w:val="003A3484"/>
    <w:rsid w:val="003A3A19"/>
    <w:rsid w:val="003B3374"/>
    <w:rsid w:val="003B4AFD"/>
    <w:rsid w:val="003B4E94"/>
    <w:rsid w:val="003C4805"/>
    <w:rsid w:val="003C6E65"/>
    <w:rsid w:val="003D17CF"/>
    <w:rsid w:val="003E0011"/>
    <w:rsid w:val="004061C8"/>
    <w:rsid w:val="00410F5B"/>
    <w:rsid w:val="004152DE"/>
    <w:rsid w:val="004154A7"/>
    <w:rsid w:val="004167EB"/>
    <w:rsid w:val="00421190"/>
    <w:rsid w:val="00421A12"/>
    <w:rsid w:val="0042537A"/>
    <w:rsid w:val="00431254"/>
    <w:rsid w:val="00433770"/>
    <w:rsid w:val="004406A1"/>
    <w:rsid w:val="0044584F"/>
    <w:rsid w:val="004533CF"/>
    <w:rsid w:val="00453751"/>
    <w:rsid w:val="004567E8"/>
    <w:rsid w:val="0046623E"/>
    <w:rsid w:val="00476A94"/>
    <w:rsid w:val="00483A17"/>
    <w:rsid w:val="00485E32"/>
    <w:rsid w:val="00487328"/>
    <w:rsid w:val="00496E53"/>
    <w:rsid w:val="004978A9"/>
    <w:rsid w:val="004A36A7"/>
    <w:rsid w:val="004A549A"/>
    <w:rsid w:val="004B3ED7"/>
    <w:rsid w:val="004E1FCD"/>
    <w:rsid w:val="004E5A2C"/>
    <w:rsid w:val="004E7F1D"/>
    <w:rsid w:val="004F57A0"/>
    <w:rsid w:val="0050196A"/>
    <w:rsid w:val="0051042E"/>
    <w:rsid w:val="00516FA0"/>
    <w:rsid w:val="00526208"/>
    <w:rsid w:val="005316A3"/>
    <w:rsid w:val="00532049"/>
    <w:rsid w:val="00533F67"/>
    <w:rsid w:val="00547859"/>
    <w:rsid w:val="005502F9"/>
    <w:rsid w:val="00562BFD"/>
    <w:rsid w:val="005630EC"/>
    <w:rsid w:val="005726F4"/>
    <w:rsid w:val="0057279A"/>
    <w:rsid w:val="00573F46"/>
    <w:rsid w:val="00577840"/>
    <w:rsid w:val="00582D4E"/>
    <w:rsid w:val="0058341C"/>
    <w:rsid w:val="00587C8F"/>
    <w:rsid w:val="005A0CB4"/>
    <w:rsid w:val="005A1A56"/>
    <w:rsid w:val="005A24A6"/>
    <w:rsid w:val="005B3423"/>
    <w:rsid w:val="005D53AC"/>
    <w:rsid w:val="005D758B"/>
    <w:rsid w:val="005E092C"/>
    <w:rsid w:val="005E456F"/>
    <w:rsid w:val="005E4767"/>
    <w:rsid w:val="005F02D0"/>
    <w:rsid w:val="005F7D8C"/>
    <w:rsid w:val="00600D21"/>
    <w:rsid w:val="006115EB"/>
    <w:rsid w:val="00612EAD"/>
    <w:rsid w:val="00614E8F"/>
    <w:rsid w:val="0061758D"/>
    <w:rsid w:val="00617B99"/>
    <w:rsid w:val="00622FD4"/>
    <w:rsid w:val="006235CE"/>
    <w:rsid w:val="0062654F"/>
    <w:rsid w:val="00643C81"/>
    <w:rsid w:val="00644D72"/>
    <w:rsid w:val="00647804"/>
    <w:rsid w:val="006500B5"/>
    <w:rsid w:val="00654696"/>
    <w:rsid w:val="006578D9"/>
    <w:rsid w:val="00661709"/>
    <w:rsid w:val="00665A0B"/>
    <w:rsid w:val="00666658"/>
    <w:rsid w:val="00680DF1"/>
    <w:rsid w:val="006A75E7"/>
    <w:rsid w:val="006B06C5"/>
    <w:rsid w:val="006B0D84"/>
    <w:rsid w:val="006B1FF3"/>
    <w:rsid w:val="006B3A2F"/>
    <w:rsid w:val="006C2022"/>
    <w:rsid w:val="006C2D37"/>
    <w:rsid w:val="006C66E7"/>
    <w:rsid w:val="006D4DD2"/>
    <w:rsid w:val="006D5F1D"/>
    <w:rsid w:val="006D65AF"/>
    <w:rsid w:val="006D7A13"/>
    <w:rsid w:val="006E3812"/>
    <w:rsid w:val="006F6BF3"/>
    <w:rsid w:val="00700F09"/>
    <w:rsid w:val="007019A8"/>
    <w:rsid w:val="00703D72"/>
    <w:rsid w:val="00705F1D"/>
    <w:rsid w:val="007127EA"/>
    <w:rsid w:val="00720DA0"/>
    <w:rsid w:val="007215AE"/>
    <w:rsid w:val="00722557"/>
    <w:rsid w:val="00726DEA"/>
    <w:rsid w:val="007272F9"/>
    <w:rsid w:val="00744207"/>
    <w:rsid w:val="00753B16"/>
    <w:rsid w:val="007565F0"/>
    <w:rsid w:val="00760A48"/>
    <w:rsid w:val="00765B1D"/>
    <w:rsid w:val="007747DC"/>
    <w:rsid w:val="00780EB2"/>
    <w:rsid w:val="00785D8D"/>
    <w:rsid w:val="007A027B"/>
    <w:rsid w:val="007C0921"/>
    <w:rsid w:val="007D5ACF"/>
    <w:rsid w:val="007D627A"/>
    <w:rsid w:val="007D6DA3"/>
    <w:rsid w:val="007E2517"/>
    <w:rsid w:val="007E4FB6"/>
    <w:rsid w:val="007E6C49"/>
    <w:rsid w:val="00801B77"/>
    <w:rsid w:val="00801EC6"/>
    <w:rsid w:val="00802051"/>
    <w:rsid w:val="00813D68"/>
    <w:rsid w:val="00814EBC"/>
    <w:rsid w:val="00815149"/>
    <w:rsid w:val="00817205"/>
    <w:rsid w:val="008204A6"/>
    <w:rsid w:val="00822D08"/>
    <w:rsid w:val="00825148"/>
    <w:rsid w:val="00827C84"/>
    <w:rsid w:val="0083262A"/>
    <w:rsid w:val="00841078"/>
    <w:rsid w:val="00847C69"/>
    <w:rsid w:val="0085565B"/>
    <w:rsid w:val="0085746C"/>
    <w:rsid w:val="00864C7D"/>
    <w:rsid w:val="00864F8A"/>
    <w:rsid w:val="00865ED8"/>
    <w:rsid w:val="008678D3"/>
    <w:rsid w:val="008720C2"/>
    <w:rsid w:val="008815B7"/>
    <w:rsid w:val="0088596D"/>
    <w:rsid w:val="00892E45"/>
    <w:rsid w:val="008938BB"/>
    <w:rsid w:val="00894BEB"/>
    <w:rsid w:val="008957A2"/>
    <w:rsid w:val="008A2C62"/>
    <w:rsid w:val="008B1D92"/>
    <w:rsid w:val="008B3297"/>
    <w:rsid w:val="008B4BDE"/>
    <w:rsid w:val="008C6FEB"/>
    <w:rsid w:val="008D0381"/>
    <w:rsid w:val="008D5AAC"/>
    <w:rsid w:val="008D6399"/>
    <w:rsid w:val="008D7F56"/>
    <w:rsid w:val="008E0388"/>
    <w:rsid w:val="008E2A0E"/>
    <w:rsid w:val="008E70B3"/>
    <w:rsid w:val="008E7E4A"/>
    <w:rsid w:val="008F090F"/>
    <w:rsid w:val="008F13E9"/>
    <w:rsid w:val="008F5FCF"/>
    <w:rsid w:val="009028C6"/>
    <w:rsid w:val="009055A6"/>
    <w:rsid w:val="00922A90"/>
    <w:rsid w:val="00922DEC"/>
    <w:rsid w:val="00934F37"/>
    <w:rsid w:val="009362C4"/>
    <w:rsid w:val="00937473"/>
    <w:rsid w:val="00941165"/>
    <w:rsid w:val="009551DD"/>
    <w:rsid w:val="0095539A"/>
    <w:rsid w:val="00966AAF"/>
    <w:rsid w:val="00976481"/>
    <w:rsid w:val="00977514"/>
    <w:rsid w:val="00981EFB"/>
    <w:rsid w:val="00983141"/>
    <w:rsid w:val="009852C9"/>
    <w:rsid w:val="00987CE0"/>
    <w:rsid w:val="009936C3"/>
    <w:rsid w:val="00994330"/>
    <w:rsid w:val="00994CE5"/>
    <w:rsid w:val="009A13B3"/>
    <w:rsid w:val="009A304B"/>
    <w:rsid w:val="009A3ACF"/>
    <w:rsid w:val="009A5328"/>
    <w:rsid w:val="009C03AE"/>
    <w:rsid w:val="009C08DC"/>
    <w:rsid w:val="009C1136"/>
    <w:rsid w:val="009D021B"/>
    <w:rsid w:val="009D146C"/>
    <w:rsid w:val="009D3A8A"/>
    <w:rsid w:val="009E2A79"/>
    <w:rsid w:val="009E6E78"/>
    <w:rsid w:val="009F223A"/>
    <w:rsid w:val="009F244A"/>
    <w:rsid w:val="009F5E0E"/>
    <w:rsid w:val="00A00654"/>
    <w:rsid w:val="00A05AA2"/>
    <w:rsid w:val="00A064EB"/>
    <w:rsid w:val="00A10EFA"/>
    <w:rsid w:val="00A2544B"/>
    <w:rsid w:val="00A25845"/>
    <w:rsid w:val="00A26A24"/>
    <w:rsid w:val="00A26A5D"/>
    <w:rsid w:val="00A35C27"/>
    <w:rsid w:val="00A374C6"/>
    <w:rsid w:val="00A40084"/>
    <w:rsid w:val="00A41A47"/>
    <w:rsid w:val="00A444B6"/>
    <w:rsid w:val="00A457CC"/>
    <w:rsid w:val="00A55BA4"/>
    <w:rsid w:val="00A56DFA"/>
    <w:rsid w:val="00A57297"/>
    <w:rsid w:val="00A65222"/>
    <w:rsid w:val="00A707A9"/>
    <w:rsid w:val="00A74516"/>
    <w:rsid w:val="00A977D2"/>
    <w:rsid w:val="00AA032F"/>
    <w:rsid w:val="00AA47C9"/>
    <w:rsid w:val="00AB76D6"/>
    <w:rsid w:val="00AC0533"/>
    <w:rsid w:val="00AC1870"/>
    <w:rsid w:val="00AD38E2"/>
    <w:rsid w:val="00AD5A1F"/>
    <w:rsid w:val="00AD5F01"/>
    <w:rsid w:val="00AD743B"/>
    <w:rsid w:val="00AE5901"/>
    <w:rsid w:val="00B01AA5"/>
    <w:rsid w:val="00B06F8F"/>
    <w:rsid w:val="00B11028"/>
    <w:rsid w:val="00B1224B"/>
    <w:rsid w:val="00B25F61"/>
    <w:rsid w:val="00B31CE9"/>
    <w:rsid w:val="00B322CF"/>
    <w:rsid w:val="00B34CA6"/>
    <w:rsid w:val="00B34F68"/>
    <w:rsid w:val="00B42C66"/>
    <w:rsid w:val="00B50F4A"/>
    <w:rsid w:val="00B5105D"/>
    <w:rsid w:val="00B523DA"/>
    <w:rsid w:val="00B639AA"/>
    <w:rsid w:val="00B814E3"/>
    <w:rsid w:val="00B81BAD"/>
    <w:rsid w:val="00B8439A"/>
    <w:rsid w:val="00B85FBF"/>
    <w:rsid w:val="00B91F4F"/>
    <w:rsid w:val="00BB00C1"/>
    <w:rsid w:val="00BC1424"/>
    <w:rsid w:val="00BC4091"/>
    <w:rsid w:val="00BD19BC"/>
    <w:rsid w:val="00BD27B4"/>
    <w:rsid w:val="00BD3A56"/>
    <w:rsid w:val="00BD52C1"/>
    <w:rsid w:val="00BD64F9"/>
    <w:rsid w:val="00BE6FB7"/>
    <w:rsid w:val="00BE70CF"/>
    <w:rsid w:val="00BE7B86"/>
    <w:rsid w:val="00BF1016"/>
    <w:rsid w:val="00BF27BF"/>
    <w:rsid w:val="00BF38BB"/>
    <w:rsid w:val="00BF74A8"/>
    <w:rsid w:val="00BF7602"/>
    <w:rsid w:val="00BF7A43"/>
    <w:rsid w:val="00C019DB"/>
    <w:rsid w:val="00C01B3E"/>
    <w:rsid w:val="00C10D24"/>
    <w:rsid w:val="00C11BEF"/>
    <w:rsid w:val="00C1250E"/>
    <w:rsid w:val="00C210A3"/>
    <w:rsid w:val="00C27AFA"/>
    <w:rsid w:val="00C30176"/>
    <w:rsid w:val="00C3200E"/>
    <w:rsid w:val="00C34371"/>
    <w:rsid w:val="00C3448E"/>
    <w:rsid w:val="00C445B6"/>
    <w:rsid w:val="00C47B7F"/>
    <w:rsid w:val="00C51F66"/>
    <w:rsid w:val="00C81152"/>
    <w:rsid w:val="00C960AF"/>
    <w:rsid w:val="00C97CCD"/>
    <w:rsid w:val="00CA3C15"/>
    <w:rsid w:val="00CB2845"/>
    <w:rsid w:val="00CD2C2C"/>
    <w:rsid w:val="00CD3EAC"/>
    <w:rsid w:val="00CE15C9"/>
    <w:rsid w:val="00CF4587"/>
    <w:rsid w:val="00CF7EF3"/>
    <w:rsid w:val="00D13B49"/>
    <w:rsid w:val="00D1789C"/>
    <w:rsid w:val="00D17B97"/>
    <w:rsid w:val="00D20017"/>
    <w:rsid w:val="00D25134"/>
    <w:rsid w:val="00D26DAB"/>
    <w:rsid w:val="00D27650"/>
    <w:rsid w:val="00D346E6"/>
    <w:rsid w:val="00D347EF"/>
    <w:rsid w:val="00D540D7"/>
    <w:rsid w:val="00D5762D"/>
    <w:rsid w:val="00D67306"/>
    <w:rsid w:val="00D7375F"/>
    <w:rsid w:val="00D7383C"/>
    <w:rsid w:val="00D832C1"/>
    <w:rsid w:val="00D97458"/>
    <w:rsid w:val="00DA2FA1"/>
    <w:rsid w:val="00DB6230"/>
    <w:rsid w:val="00DC107A"/>
    <w:rsid w:val="00DC2460"/>
    <w:rsid w:val="00DE17A9"/>
    <w:rsid w:val="00DE43B3"/>
    <w:rsid w:val="00DF107A"/>
    <w:rsid w:val="00DF78D2"/>
    <w:rsid w:val="00E0203E"/>
    <w:rsid w:val="00E15DFC"/>
    <w:rsid w:val="00E22CBE"/>
    <w:rsid w:val="00E25541"/>
    <w:rsid w:val="00E268C2"/>
    <w:rsid w:val="00E32D85"/>
    <w:rsid w:val="00E32EDD"/>
    <w:rsid w:val="00E33901"/>
    <w:rsid w:val="00E404EC"/>
    <w:rsid w:val="00E40AE9"/>
    <w:rsid w:val="00E4398B"/>
    <w:rsid w:val="00E4629A"/>
    <w:rsid w:val="00E46A6D"/>
    <w:rsid w:val="00E72016"/>
    <w:rsid w:val="00E7697E"/>
    <w:rsid w:val="00E8005B"/>
    <w:rsid w:val="00E8225E"/>
    <w:rsid w:val="00E85060"/>
    <w:rsid w:val="00E91046"/>
    <w:rsid w:val="00EA3D3A"/>
    <w:rsid w:val="00EA5670"/>
    <w:rsid w:val="00EB48BC"/>
    <w:rsid w:val="00EC168B"/>
    <w:rsid w:val="00EC1AE5"/>
    <w:rsid w:val="00EC6596"/>
    <w:rsid w:val="00ED5A94"/>
    <w:rsid w:val="00ED72C3"/>
    <w:rsid w:val="00EF73A1"/>
    <w:rsid w:val="00F04982"/>
    <w:rsid w:val="00F071B2"/>
    <w:rsid w:val="00F0737D"/>
    <w:rsid w:val="00F17F01"/>
    <w:rsid w:val="00F21AB0"/>
    <w:rsid w:val="00F31DBA"/>
    <w:rsid w:val="00F36C97"/>
    <w:rsid w:val="00F55BF5"/>
    <w:rsid w:val="00F56E52"/>
    <w:rsid w:val="00F622BF"/>
    <w:rsid w:val="00F73A0C"/>
    <w:rsid w:val="00F834A0"/>
    <w:rsid w:val="00F83575"/>
    <w:rsid w:val="00F83DF5"/>
    <w:rsid w:val="00F85BB9"/>
    <w:rsid w:val="00FA5C85"/>
    <w:rsid w:val="00FB4811"/>
    <w:rsid w:val="00FC21FB"/>
    <w:rsid w:val="00FC422F"/>
    <w:rsid w:val="00FC63B1"/>
    <w:rsid w:val="00FF17FA"/>
    <w:rsid w:val="011B07E4"/>
    <w:rsid w:val="01412528"/>
    <w:rsid w:val="017A28AF"/>
    <w:rsid w:val="01B36BD0"/>
    <w:rsid w:val="023F4C0B"/>
    <w:rsid w:val="02557D02"/>
    <w:rsid w:val="0261487E"/>
    <w:rsid w:val="02647AB9"/>
    <w:rsid w:val="02EA527F"/>
    <w:rsid w:val="02FC6355"/>
    <w:rsid w:val="030864EE"/>
    <w:rsid w:val="03C9034E"/>
    <w:rsid w:val="04277401"/>
    <w:rsid w:val="043363B4"/>
    <w:rsid w:val="04402271"/>
    <w:rsid w:val="044E0E32"/>
    <w:rsid w:val="045058AF"/>
    <w:rsid w:val="04B52C5F"/>
    <w:rsid w:val="04BC5D9C"/>
    <w:rsid w:val="04C609C8"/>
    <w:rsid w:val="05832D5D"/>
    <w:rsid w:val="05E337FC"/>
    <w:rsid w:val="064918B1"/>
    <w:rsid w:val="066F18E3"/>
    <w:rsid w:val="06CA4402"/>
    <w:rsid w:val="06DB0D39"/>
    <w:rsid w:val="06E93094"/>
    <w:rsid w:val="06EB2968"/>
    <w:rsid w:val="073A1972"/>
    <w:rsid w:val="07504EC1"/>
    <w:rsid w:val="07574B9B"/>
    <w:rsid w:val="077F7038"/>
    <w:rsid w:val="07936DC5"/>
    <w:rsid w:val="07AB7D7F"/>
    <w:rsid w:val="07C90CD6"/>
    <w:rsid w:val="0858227F"/>
    <w:rsid w:val="08B01FCA"/>
    <w:rsid w:val="08BC0A60"/>
    <w:rsid w:val="096F3D50"/>
    <w:rsid w:val="09C851E3"/>
    <w:rsid w:val="09F96B53"/>
    <w:rsid w:val="0A3D797F"/>
    <w:rsid w:val="0A51342A"/>
    <w:rsid w:val="0A690774"/>
    <w:rsid w:val="0ADF0A36"/>
    <w:rsid w:val="0B064214"/>
    <w:rsid w:val="0B1C57E6"/>
    <w:rsid w:val="0B2B5A29"/>
    <w:rsid w:val="0B6E3B68"/>
    <w:rsid w:val="0B946B45"/>
    <w:rsid w:val="0B9C2483"/>
    <w:rsid w:val="0BBF6171"/>
    <w:rsid w:val="0C833643"/>
    <w:rsid w:val="0D1F524B"/>
    <w:rsid w:val="0D300BD4"/>
    <w:rsid w:val="0D7511DD"/>
    <w:rsid w:val="0D8238FA"/>
    <w:rsid w:val="0DE97FB1"/>
    <w:rsid w:val="0DFE3E88"/>
    <w:rsid w:val="0E67117E"/>
    <w:rsid w:val="0EC20452"/>
    <w:rsid w:val="0EDB32C2"/>
    <w:rsid w:val="0EFD76DC"/>
    <w:rsid w:val="0F193361"/>
    <w:rsid w:val="0F1A2090"/>
    <w:rsid w:val="0FA36D97"/>
    <w:rsid w:val="10352EA6"/>
    <w:rsid w:val="106317C1"/>
    <w:rsid w:val="107229E6"/>
    <w:rsid w:val="10EB2123"/>
    <w:rsid w:val="11DC260A"/>
    <w:rsid w:val="125B7B07"/>
    <w:rsid w:val="125C0BBE"/>
    <w:rsid w:val="12AC76B7"/>
    <w:rsid w:val="12C549B5"/>
    <w:rsid w:val="130B7EEE"/>
    <w:rsid w:val="133B64EF"/>
    <w:rsid w:val="139D3F74"/>
    <w:rsid w:val="1437543F"/>
    <w:rsid w:val="147246C9"/>
    <w:rsid w:val="14F52C04"/>
    <w:rsid w:val="15E213DA"/>
    <w:rsid w:val="162C7845"/>
    <w:rsid w:val="163C7F14"/>
    <w:rsid w:val="16781D3E"/>
    <w:rsid w:val="16953304"/>
    <w:rsid w:val="16AF39B2"/>
    <w:rsid w:val="17413E7A"/>
    <w:rsid w:val="17C74D2B"/>
    <w:rsid w:val="18534811"/>
    <w:rsid w:val="185761EC"/>
    <w:rsid w:val="18846B1B"/>
    <w:rsid w:val="18BD6943"/>
    <w:rsid w:val="19235F91"/>
    <w:rsid w:val="1A037B71"/>
    <w:rsid w:val="1A533140"/>
    <w:rsid w:val="1AF04599"/>
    <w:rsid w:val="1B03607B"/>
    <w:rsid w:val="1B2F50C2"/>
    <w:rsid w:val="1B530684"/>
    <w:rsid w:val="1BF14067"/>
    <w:rsid w:val="1C954CD6"/>
    <w:rsid w:val="1D8D60CF"/>
    <w:rsid w:val="1DB3722F"/>
    <w:rsid w:val="1DEB1048"/>
    <w:rsid w:val="1E427355"/>
    <w:rsid w:val="1EBC19AC"/>
    <w:rsid w:val="1EF04B68"/>
    <w:rsid w:val="1FA94D17"/>
    <w:rsid w:val="1FAB4F33"/>
    <w:rsid w:val="202251F5"/>
    <w:rsid w:val="202D1DEC"/>
    <w:rsid w:val="203F4CE0"/>
    <w:rsid w:val="20823EE5"/>
    <w:rsid w:val="210B5C89"/>
    <w:rsid w:val="213845A4"/>
    <w:rsid w:val="21AD0AEE"/>
    <w:rsid w:val="21D02A2F"/>
    <w:rsid w:val="224114EB"/>
    <w:rsid w:val="22590C76"/>
    <w:rsid w:val="227D5D39"/>
    <w:rsid w:val="22A7378F"/>
    <w:rsid w:val="22A87507"/>
    <w:rsid w:val="22BC3721"/>
    <w:rsid w:val="22C21293"/>
    <w:rsid w:val="23123D20"/>
    <w:rsid w:val="23C67B2A"/>
    <w:rsid w:val="24707D66"/>
    <w:rsid w:val="24A02C63"/>
    <w:rsid w:val="24CE594B"/>
    <w:rsid w:val="24D44611"/>
    <w:rsid w:val="25D0454C"/>
    <w:rsid w:val="25E02770"/>
    <w:rsid w:val="25FF38E2"/>
    <w:rsid w:val="26920BFA"/>
    <w:rsid w:val="277B168E"/>
    <w:rsid w:val="279604CC"/>
    <w:rsid w:val="27C923FA"/>
    <w:rsid w:val="28875DD2"/>
    <w:rsid w:val="288E0F4E"/>
    <w:rsid w:val="28C80903"/>
    <w:rsid w:val="28EA41B6"/>
    <w:rsid w:val="290A5433"/>
    <w:rsid w:val="294C32E2"/>
    <w:rsid w:val="29EA6A0F"/>
    <w:rsid w:val="29F40BC6"/>
    <w:rsid w:val="2A0E67EA"/>
    <w:rsid w:val="2A355B25"/>
    <w:rsid w:val="2A473AAA"/>
    <w:rsid w:val="2A4B17EC"/>
    <w:rsid w:val="2A686728"/>
    <w:rsid w:val="2AAA5340"/>
    <w:rsid w:val="2AB32EED"/>
    <w:rsid w:val="2AFE4816"/>
    <w:rsid w:val="2B55653E"/>
    <w:rsid w:val="2B8534D0"/>
    <w:rsid w:val="2BE54F97"/>
    <w:rsid w:val="2C26606D"/>
    <w:rsid w:val="2C7C3EDF"/>
    <w:rsid w:val="2D4B2626"/>
    <w:rsid w:val="2D752946"/>
    <w:rsid w:val="2D8017AD"/>
    <w:rsid w:val="2DBE22D5"/>
    <w:rsid w:val="2E1145AD"/>
    <w:rsid w:val="2EA25753"/>
    <w:rsid w:val="2EDF0E5F"/>
    <w:rsid w:val="2F5D2112"/>
    <w:rsid w:val="2F610B91"/>
    <w:rsid w:val="2F662C24"/>
    <w:rsid w:val="2FB4250F"/>
    <w:rsid w:val="2FC3601D"/>
    <w:rsid w:val="2FE36023"/>
    <w:rsid w:val="30460086"/>
    <w:rsid w:val="30B50BEA"/>
    <w:rsid w:val="30D06622"/>
    <w:rsid w:val="312F0994"/>
    <w:rsid w:val="31BA754C"/>
    <w:rsid w:val="3216623C"/>
    <w:rsid w:val="331C5AD4"/>
    <w:rsid w:val="33425991"/>
    <w:rsid w:val="33896EE1"/>
    <w:rsid w:val="3402100C"/>
    <w:rsid w:val="344352E2"/>
    <w:rsid w:val="349A75F8"/>
    <w:rsid w:val="34CE54F3"/>
    <w:rsid w:val="351C6D8F"/>
    <w:rsid w:val="35A3428A"/>
    <w:rsid w:val="35D97CAC"/>
    <w:rsid w:val="36223C4B"/>
    <w:rsid w:val="36745C27"/>
    <w:rsid w:val="36825B11"/>
    <w:rsid w:val="36B44275"/>
    <w:rsid w:val="37A26BE9"/>
    <w:rsid w:val="382A0D47"/>
    <w:rsid w:val="38417D8A"/>
    <w:rsid w:val="38BE13DB"/>
    <w:rsid w:val="38C76E77"/>
    <w:rsid w:val="391F00CC"/>
    <w:rsid w:val="39627FB8"/>
    <w:rsid w:val="3978678E"/>
    <w:rsid w:val="398A5A00"/>
    <w:rsid w:val="39A1047C"/>
    <w:rsid w:val="39F71049"/>
    <w:rsid w:val="3A563DB1"/>
    <w:rsid w:val="3A836438"/>
    <w:rsid w:val="3A8808CC"/>
    <w:rsid w:val="3A9262F0"/>
    <w:rsid w:val="3B251BE5"/>
    <w:rsid w:val="3B6D1539"/>
    <w:rsid w:val="3B7537C9"/>
    <w:rsid w:val="3B8A37F6"/>
    <w:rsid w:val="3C44609B"/>
    <w:rsid w:val="3C4B17D9"/>
    <w:rsid w:val="3CB404E9"/>
    <w:rsid w:val="3D3C4E22"/>
    <w:rsid w:val="3D5F13DF"/>
    <w:rsid w:val="3DAD1CC3"/>
    <w:rsid w:val="3DDC47DD"/>
    <w:rsid w:val="3DED69EA"/>
    <w:rsid w:val="3DF5764D"/>
    <w:rsid w:val="3E987E41"/>
    <w:rsid w:val="3F3E6DD2"/>
    <w:rsid w:val="3F636838"/>
    <w:rsid w:val="3FDE79B9"/>
    <w:rsid w:val="40AB5373"/>
    <w:rsid w:val="40D20C32"/>
    <w:rsid w:val="40E51BFB"/>
    <w:rsid w:val="416E6F83"/>
    <w:rsid w:val="419A0752"/>
    <w:rsid w:val="41FF0A9A"/>
    <w:rsid w:val="42273FDA"/>
    <w:rsid w:val="425012F6"/>
    <w:rsid w:val="425D23F3"/>
    <w:rsid w:val="426B25D4"/>
    <w:rsid w:val="429C0DE9"/>
    <w:rsid w:val="42AD04E5"/>
    <w:rsid w:val="42E44134"/>
    <w:rsid w:val="431D7B20"/>
    <w:rsid w:val="432B58BF"/>
    <w:rsid w:val="438B51FA"/>
    <w:rsid w:val="438D0328"/>
    <w:rsid w:val="43B104BA"/>
    <w:rsid w:val="43DF35A3"/>
    <w:rsid w:val="444924A1"/>
    <w:rsid w:val="44F56185"/>
    <w:rsid w:val="453C24A7"/>
    <w:rsid w:val="4563134C"/>
    <w:rsid w:val="45A1630C"/>
    <w:rsid w:val="45F75F2C"/>
    <w:rsid w:val="463830C3"/>
    <w:rsid w:val="474358CD"/>
    <w:rsid w:val="47A26CFF"/>
    <w:rsid w:val="47A65E5C"/>
    <w:rsid w:val="47C702AC"/>
    <w:rsid w:val="4900255C"/>
    <w:rsid w:val="4929464F"/>
    <w:rsid w:val="492C29E9"/>
    <w:rsid w:val="4977185E"/>
    <w:rsid w:val="49BC54C3"/>
    <w:rsid w:val="49F57212"/>
    <w:rsid w:val="4B2E419E"/>
    <w:rsid w:val="4BBF74EC"/>
    <w:rsid w:val="4DAB41CC"/>
    <w:rsid w:val="4E0B6A19"/>
    <w:rsid w:val="4E83287A"/>
    <w:rsid w:val="4ED850AE"/>
    <w:rsid w:val="4F021BCA"/>
    <w:rsid w:val="4F073BBA"/>
    <w:rsid w:val="4F1813ED"/>
    <w:rsid w:val="4F1D4C56"/>
    <w:rsid w:val="4F5A37B4"/>
    <w:rsid w:val="4F622668"/>
    <w:rsid w:val="4F8A1F90"/>
    <w:rsid w:val="50250266"/>
    <w:rsid w:val="502F0840"/>
    <w:rsid w:val="503D0486"/>
    <w:rsid w:val="50D77086"/>
    <w:rsid w:val="51894669"/>
    <w:rsid w:val="51A76A58"/>
    <w:rsid w:val="52483D98"/>
    <w:rsid w:val="52756B57"/>
    <w:rsid w:val="5316227A"/>
    <w:rsid w:val="53D8114B"/>
    <w:rsid w:val="544B7B6F"/>
    <w:rsid w:val="54FB2F24"/>
    <w:rsid w:val="551A619D"/>
    <w:rsid w:val="551B0A29"/>
    <w:rsid w:val="5521604B"/>
    <w:rsid w:val="55697856"/>
    <w:rsid w:val="55786762"/>
    <w:rsid w:val="55937A20"/>
    <w:rsid w:val="55BE126C"/>
    <w:rsid w:val="562A4691"/>
    <w:rsid w:val="56B46F56"/>
    <w:rsid w:val="57122BC6"/>
    <w:rsid w:val="57603931"/>
    <w:rsid w:val="57BB04AB"/>
    <w:rsid w:val="57D04F5B"/>
    <w:rsid w:val="57DF519E"/>
    <w:rsid w:val="57F9418C"/>
    <w:rsid w:val="582639F4"/>
    <w:rsid w:val="585F008D"/>
    <w:rsid w:val="58856E82"/>
    <w:rsid w:val="594B0611"/>
    <w:rsid w:val="59C16A55"/>
    <w:rsid w:val="5A0C7DA1"/>
    <w:rsid w:val="5A21599C"/>
    <w:rsid w:val="5AA91A93"/>
    <w:rsid w:val="5B483A80"/>
    <w:rsid w:val="5B650CF6"/>
    <w:rsid w:val="5B7756EE"/>
    <w:rsid w:val="5B8B2F47"/>
    <w:rsid w:val="5C9664F6"/>
    <w:rsid w:val="5CDF354A"/>
    <w:rsid w:val="5E162F9C"/>
    <w:rsid w:val="5E543AC4"/>
    <w:rsid w:val="5E9E553B"/>
    <w:rsid w:val="5EDD1D0C"/>
    <w:rsid w:val="5EE25574"/>
    <w:rsid w:val="5F4B4EC7"/>
    <w:rsid w:val="60294EFF"/>
    <w:rsid w:val="602C2F4B"/>
    <w:rsid w:val="60624BBE"/>
    <w:rsid w:val="606C3347"/>
    <w:rsid w:val="607152D4"/>
    <w:rsid w:val="608C23F6"/>
    <w:rsid w:val="60CD204E"/>
    <w:rsid w:val="60E5591C"/>
    <w:rsid w:val="6166423A"/>
    <w:rsid w:val="627A1670"/>
    <w:rsid w:val="627B4AE2"/>
    <w:rsid w:val="62816E52"/>
    <w:rsid w:val="62C236F2"/>
    <w:rsid w:val="62DF6BD0"/>
    <w:rsid w:val="63343EC4"/>
    <w:rsid w:val="63CD67F3"/>
    <w:rsid w:val="642C10C6"/>
    <w:rsid w:val="65051FBC"/>
    <w:rsid w:val="65340DFB"/>
    <w:rsid w:val="655572CA"/>
    <w:rsid w:val="65CB6D62"/>
    <w:rsid w:val="660A71B1"/>
    <w:rsid w:val="661F70AE"/>
    <w:rsid w:val="662B21A6"/>
    <w:rsid w:val="66A337D0"/>
    <w:rsid w:val="670C1B0F"/>
    <w:rsid w:val="673E5DDC"/>
    <w:rsid w:val="676A4358"/>
    <w:rsid w:val="678322B1"/>
    <w:rsid w:val="67BC2E06"/>
    <w:rsid w:val="67C24932"/>
    <w:rsid w:val="67C5233D"/>
    <w:rsid w:val="67E660D5"/>
    <w:rsid w:val="680A5DCC"/>
    <w:rsid w:val="681C3431"/>
    <w:rsid w:val="68B86C07"/>
    <w:rsid w:val="68BA4E6C"/>
    <w:rsid w:val="69201173"/>
    <w:rsid w:val="693A5FE1"/>
    <w:rsid w:val="695259BF"/>
    <w:rsid w:val="697F058F"/>
    <w:rsid w:val="699833FF"/>
    <w:rsid w:val="69CA7330"/>
    <w:rsid w:val="6A1567FD"/>
    <w:rsid w:val="6A2B230C"/>
    <w:rsid w:val="6A3D5D54"/>
    <w:rsid w:val="6A5F4BF7"/>
    <w:rsid w:val="6A8B6EFD"/>
    <w:rsid w:val="6B2A277C"/>
    <w:rsid w:val="6B6317EA"/>
    <w:rsid w:val="6B8754D9"/>
    <w:rsid w:val="6BB43DF4"/>
    <w:rsid w:val="6BFE3C4C"/>
    <w:rsid w:val="6C092392"/>
    <w:rsid w:val="6C3811CB"/>
    <w:rsid w:val="6CF44A3B"/>
    <w:rsid w:val="6D7E0B5E"/>
    <w:rsid w:val="6E1B015A"/>
    <w:rsid w:val="6F0155A2"/>
    <w:rsid w:val="6F084B83"/>
    <w:rsid w:val="6FF82A9A"/>
    <w:rsid w:val="70207CAA"/>
    <w:rsid w:val="70D77415"/>
    <w:rsid w:val="71286028"/>
    <w:rsid w:val="71E82A49"/>
    <w:rsid w:val="722C2B09"/>
    <w:rsid w:val="72423799"/>
    <w:rsid w:val="725B76BF"/>
    <w:rsid w:val="72604CD6"/>
    <w:rsid w:val="727B7546"/>
    <w:rsid w:val="729A3D44"/>
    <w:rsid w:val="733B4DEC"/>
    <w:rsid w:val="73797DFD"/>
    <w:rsid w:val="74112337"/>
    <w:rsid w:val="74933140"/>
    <w:rsid w:val="74CE4179"/>
    <w:rsid w:val="74D774D1"/>
    <w:rsid w:val="74EA75CD"/>
    <w:rsid w:val="75220020"/>
    <w:rsid w:val="75AD3A57"/>
    <w:rsid w:val="75B5459F"/>
    <w:rsid w:val="75BC7538"/>
    <w:rsid w:val="762F0C47"/>
    <w:rsid w:val="76805325"/>
    <w:rsid w:val="76D2655D"/>
    <w:rsid w:val="778128CE"/>
    <w:rsid w:val="779E42D6"/>
    <w:rsid w:val="77B92EBE"/>
    <w:rsid w:val="77DA67A7"/>
    <w:rsid w:val="781520BE"/>
    <w:rsid w:val="7867302D"/>
    <w:rsid w:val="792E168A"/>
    <w:rsid w:val="79D355EF"/>
    <w:rsid w:val="79F77CCE"/>
    <w:rsid w:val="7A0D188B"/>
    <w:rsid w:val="7A217D01"/>
    <w:rsid w:val="7A822729"/>
    <w:rsid w:val="7A993117"/>
    <w:rsid w:val="7AEC713E"/>
    <w:rsid w:val="7BBD0AA3"/>
    <w:rsid w:val="7C077F70"/>
    <w:rsid w:val="7C1C37DF"/>
    <w:rsid w:val="7C2B1EB0"/>
    <w:rsid w:val="7C402716"/>
    <w:rsid w:val="7CDD764F"/>
    <w:rsid w:val="7D00333D"/>
    <w:rsid w:val="7D143745"/>
    <w:rsid w:val="7D5919D9"/>
    <w:rsid w:val="7EAD12A3"/>
    <w:rsid w:val="7EE10F4C"/>
    <w:rsid w:val="7EFA252B"/>
    <w:rsid w:val="7F4F235A"/>
    <w:rsid w:val="7F5259A6"/>
    <w:rsid w:val="7F7160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30"/>
    <w:autoRedefine/>
    <w:qFormat/>
    <w:uiPriority w:val="0"/>
    <w:pPr>
      <w:keepNext/>
      <w:keepLines/>
      <w:ind w:firstLine="643"/>
      <w:outlineLvl w:val="0"/>
    </w:pPr>
    <w:rPr>
      <w:rFonts w:ascii="Calibri" w:hAnsi="Calibri" w:eastAsia="黑体" w:cs="黑体"/>
      <w:kern w:val="44"/>
    </w:rPr>
  </w:style>
  <w:style w:type="paragraph" w:styleId="3">
    <w:name w:val="heading 2"/>
    <w:basedOn w:val="1"/>
    <w:next w:val="1"/>
    <w:link w:val="31"/>
    <w:autoRedefine/>
    <w:qFormat/>
    <w:uiPriority w:val="0"/>
    <w:pPr>
      <w:ind w:firstLine="640"/>
      <w:outlineLvl w:val="1"/>
    </w:pPr>
    <w:rPr>
      <w:rFonts w:ascii="仿宋_GB2312" w:cs="Times New Roman"/>
      <w:bCs/>
      <w:szCs w:val="32"/>
    </w:rPr>
  </w:style>
  <w:style w:type="paragraph" w:styleId="4">
    <w:name w:val="heading 3"/>
    <w:basedOn w:val="1"/>
    <w:next w:val="1"/>
    <w:link w:val="32"/>
    <w:autoRedefine/>
    <w:unhideWhenUsed/>
    <w:qFormat/>
    <w:uiPriority w:val="0"/>
    <w:pPr>
      <w:keepNext/>
      <w:keepLines/>
      <w:spacing w:before="260" w:after="260" w:line="413" w:lineRule="auto"/>
      <w:outlineLvl w:val="2"/>
    </w:pPr>
    <w:rPr>
      <w:rFonts w:cs="黑体"/>
      <w:b/>
      <w:kern w:val="0"/>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unhideWhenUsed/>
    <w:qFormat/>
    <w:uiPriority w:val="39"/>
    <w:pPr>
      <w:ind w:left="2520" w:leftChars="1200"/>
    </w:pPr>
  </w:style>
  <w:style w:type="paragraph" w:styleId="6">
    <w:name w:val="Document Map"/>
    <w:basedOn w:val="1"/>
    <w:link w:val="52"/>
    <w:autoRedefine/>
    <w:semiHidden/>
    <w:unhideWhenUsed/>
    <w:qFormat/>
    <w:uiPriority w:val="99"/>
    <w:rPr>
      <w:rFonts w:ascii="宋体" w:eastAsia="宋体"/>
      <w:sz w:val="18"/>
      <w:szCs w:val="18"/>
    </w:rPr>
  </w:style>
  <w:style w:type="paragraph" w:styleId="7">
    <w:name w:val="annotation text"/>
    <w:basedOn w:val="1"/>
    <w:link w:val="33"/>
    <w:autoRedefine/>
    <w:qFormat/>
    <w:uiPriority w:val="0"/>
    <w:pPr>
      <w:jc w:val="left"/>
    </w:pPr>
    <w:rPr>
      <w:rFonts w:ascii="Calibri" w:hAnsi="Calibri" w:eastAsia="宋体" w:cs="黑体"/>
      <w:kern w:val="0"/>
    </w:rPr>
  </w:style>
  <w:style w:type="paragraph" w:styleId="8">
    <w:name w:val="Body Text"/>
    <w:basedOn w:val="1"/>
    <w:autoRedefine/>
    <w:qFormat/>
    <w:uiPriority w:val="0"/>
    <w:pPr>
      <w:spacing w:after="120"/>
    </w:pPr>
    <w:rPr>
      <w:rFonts w:ascii="仿宋" w:hAnsi="仿宋" w:eastAsia="仿宋" w:cs="仿宋"/>
    </w:rPr>
  </w:style>
  <w:style w:type="paragraph" w:styleId="9">
    <w:name w:val="Body Text Indent"/>
    <w:basedOn w:val="1"/>
    <w:link w:val="34"/>
    <w:autoRedefine/>
    <w:unhideWhenUsed/>
    <w:qFormat/>
    <w:uiPriority w:val="0"/>
    <w:pPr>
      <w:spacing w:after="120"/>
      <w:ind w:left="420" w:leftChars="200"/>
    </w:pPr>
  </w:style>
  <w:style w:type="paragraph" w:styleId="10">
    <w:name w:val="toc 5"/>
    <w:basedOn w:val="1"/>
    <w:next w:val="1"/>
    <w:autoRedefine/>
    <w:unhideWhenUsed/>
    <w:qFormat/>
    <w:uiPriority w:val="39"/>
    <w:pPr>
      <w:ind w:left="1680" w:leftChars="800"/>
    </w:pPr>
  </w:style>
  <w:style w:type="paragraph" w:styleId="11">
    <w:name w:val="toc 3"/>
    <w:basedOn w:val="1"/>
    <w:next w:val="1"/>
    <w:link w:val="50"/>
    <w:autoRedefine/>
    <w:qFormat/>
    <w:uiPriority w:val="39"/>
    <w:pPr>
      <w:spacing w:line="360" w:lineRule="auto"/>
      <w:ind w:left="400" w:leftChars="400"/>
    </w:pPr>
    <w:rPr>
      <w:rFonts w:ascii="Calibri" w:hAnsi="Calibri" w:eastAsia="宋体" w:cs="黑体"/>
      <w:kern w:val="0"/>
      <w:sz w:val="24"/>
    </w:rPr>
  </w:style>
  <w:style w:type="paragraph" w:styleId="12">
    <w:name w:val="toc 8"/>
    <w:basedOn w:val="1"/>
    <w:next w:val="1"/>
    <w:autoRedefine/>
    <w:unhideWhenUsed/>
    <w:qFormat/>
    <w:uiPriority w:val="39"/>
    <w:pPr>
      <w:ind w:left="2940" w:leftChars="1400"/>
    </w:pPr>
  </w:style>
  <w:style w:type="paragraph" w:styleId="13">
    <w:name w:val="Balloon Text"/>
    <w:basedOn w:val="1"/>
    <w:link w:val="35"/>
    <w:autoRedefine/>
    <w:qFormat/>
    <w:uiPriority w:val="0"/>
    <w:rPr>
      <w:rFonts w:ascii="Calibri" w:hAnsi="Calibri" w:eastAsia="宋体" w:cs="黑体"/>
      <w:kern w:val="0"/>
      <w:sz w:val="18"/>
      <w:szCs w:val="18"/>
    </w:rPr>
  </w:style>
  <w:style w:type="paragraph" w:styleId="14">
    <w:name w:val="footer"/>
    <w:basedOn w:val="1"/>
    <w:link w:val="36"/>
    <w:autoRedefine/>
    <w:qFormat/>
    <w:uiPriority w:val="99"/>
    <w:pPr>
      <w:tabs>
        <w:tab w:val="center" w:pos="4153"/>
        <w:tab w:val="right" w:pos="8306"/>
      </w:tabs>
      <w:snapToGrid w:val="0"/>
      <w:ind w:firstLine="0" w:firstLineChars="0"/>
      <w:jc w:val="center"/>
    </w:pPr>
    <w:rPr>
      <w:rFonts w:ascii="Calibri" w:hAnsi="Calibri" w:eastAsia="宋体" w:cs="黑体"/>
      <w:kern w:val="0"/>
      <w:sz w:val="18"/>
      <w:szCs w:val="18"/>
    </w:rPr>
  </w:style>
  <w:style w:type="paragraph" w:styleId="15">
    <w:name w:val="header"/>
    <w:basedOn w:val="1"/>
    <w:link w:val="37"/>
    <w:autoRedefine/>
    <w:qFormat/>
    <w:uiPriority w:val="0"/>
    <w:pPr>
      <w:pBdr>
        <w:bottom w:val="single" w:color="auto" w:sz="6" w:space="1"/>
      </w:pBdr>
      <w:tabs>
        <w:tab w:val="center" w:pos="4153"/>
        <w:tab w:val="right" w:pos="8306"/>
      </w:tabs>
      <w:snapToGrid w:val="0"/>
      <w:jc w:val="center"/>
    </w:pPr>
    <w:rPr>
      <w:rFonts w:ascii="Calibri" w:hAnsi="Calibri" w:eastAsia="宋体" w:cs="黑体"/>
      <w:kern w:val="0"/>
      <w:sz w:val="18"/>
      <w:szCs w:val="18"/>
    </w:rPr>
  </w:style>
  <w:style w:type="paragraph" w:styleId="16">
    <w:name w:val="toc 1"/>
    <w:basedOn w:val="1"/>
    <w:next w:val="1"/>
    <w:autoRedefine/>
    <w:qFormat/>
    <w:uiPriority w:val="39"/>
    <w:pPr>
      <w:tabs>
        <w:tab w:val="right" w:leader="dot" w:pos="8722"/>
      </w:tabs>
      <w:spacing w:line="360" w:lineRule="auto"/>
      <w:jc w:val="center"/>
    </w:pPr>
    <w:rPr>
      <w:rFonts w:eastAsia="黑体" w:cs="Times New Roman"/>
      <w:kern w:val="0"/>
      <w:sz w:val="24"/>
      <w:szCs w:val="32"/>
    </w:rPr>
  </w:style>
  <w:style w:type="paragraph" w:styleId="17">
    <w:name w:val="toc 4"/>
    <w:basedOn w:val="1"/>
    <w:next w:val="1"/>
    <w:autoRedefine/>
    <w:unhideWhenUsed/>
    <w:qFormat/>
    <w:uiPriority w:val="39"/>
    <w:pPr>
      <w:ind w:left="1260" w:leftChars="600"/>
    </w:pPr>
  </w:style>
  <w:style w:type="paragraph" w:styleId="18">
    <w:name w:val="footnote text"/>
    <w:basedOn w:val="1"/>
    <w:link w:val="38"/>
    <w:autoRedefine/>
    <w:qFormat/>
    <w:uiPriority w:val="0"/>
    <w:pPr>
      <w:snapToGrid w:val="0"/>
      <w:spacing w:line="240" w:lineRule="auto"/>
      <w:ind w:firstLine="0" w:firstLineChars="0"/>
    </w:pPr>
    <w:rPr>
      <w:rFonts w:eastAsia="宋体" w:cs="黑体"/>
      <w:sz w:val="18"/>
      <w:szCs w:val="18"/>
    </w:rPr>
  </w:style>
  <w:style w:type="paragraph" w:styleId="19">
    <w:name w:val="toc 6"/>
    <w:basedOn w:val="1"/>
    <w:next w:val="1"/>
    <w:autoRedefine/>
    <w:unhideWhenUsed/>
    <w:qFormat/>
    <w:uiPriority w:val="39"/>
    <w:pPr>
      <w:ind w:left="2100" w:leftChars="1000"/>
    </w:pPr>
  </w:style>
  <w:style w:type="paragraph" w:styleId="20">
    <w:name w:val="toc 2"/>
    <w:basedOn w:val="1"/>
    <w:next w:val="1"/>
    <w:autoRedefine/>
    <w:qFormat/>
    <w:uiPriority w:val="39"/>
    <w:pPr>
      <w:tabs>
        <w:tab w:val="right" w:leader="dot" w:pos="8722"/>
      </w:tabs>
      <w:spacing w:line="360" w:lineRule="auto"/>
      <w:ind w:left="200" w:leftChars="200"/>
    </w:pPr>
    <w:rPr>
      <w:rFonts w:hAnsi="Calibri" w:eastAsia="宋体" w:cs="黑体"/>
      <w:kern w:val="0"/>
      <w:sz w:val="24"/>
    </w:rPr>
  </w:style>
  <w:style w:type="paragraph" w:styleId="21">
    <w:name w:val="toc 9"/>
    <w:basedOn w:val="1"/>
    <w:next w:val="1"/>
    <w:autoRedefine/>
    <w:unhideWhenUsed/>
    <w:qFormat/>
    <w:uiPriority w:val="39"/>
    <w:pPr>
      <w:ind w:left="3360" w:leftChars="1600"/>
    </w:pPr>
  </w:style>
  <w:style w:type="paragraph" w:styleId="22">
    <w:name w:val="Normal (Web)"/>
    <w:basedOn w:val="1"/>
    <w:autoRedefine/>
    <w:qFormat/>
    <w:uiPriority w:val="0"/>
    <w:pPr>
      <w:widowControl/>
      <w:spacing w:line="240" w:lineRule="exact"/>
      <w:ind w:firstLine="0" w:firstLineChars="0"/>
    </w:pPr>
    <w:rPr>
      <w:rFonts w:cs="Times New Roman" w:eastAsiaTheme="minorEastAsia"/>
      <w:kern w:val="0"/>
      <w:sz w:val="18"/>
      <w:szCs w:val="18"/>
    </w:rPr>
  </w:style>
  <w:style w:type="paragraph" w:styleId="23">
    <w:name w:val="Body Text First Indent 2"/>
    <w:basedOn w:val="9"/>
    <w:link w:val="39"/>
    <w:autoRedefine/>
    <w:qFormat/>
    <w:uiPriority w:val="0"/>
    <w:pPr>
      <w:spacing w:after="0"/>
      <w:ind w:left="-125" w:leftChars="0"/>
      <w:jc w:val="left"/>
    </w:pPr>
    <w:rPr>
      <w:rFonts w:ascii="Calibri" w:hAnsi="Calibri" w:eastAsia="方正仿宋_GB2312" w:cs="黑体"/>
      <w:kern w:val="0"/>
      <w:sz w:val="28"/>
      <w:szCs w:val="28"/>
    </w:rPr>
  </w:style>
  <w:style w:type="table" w:styleId="25">
    <w:name w:val="Table Grid"/>
    <w:basedOn w:val="2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Hyperlink"/>
    <w:basedOn w:val="26"/>
    <w:autoRedefine/>
    <w:unhideWhenUsed/>
    <w:qFormat/>
    <w:uiPriority w:val="99"/>
    <w:rPr>
      <w:color w:val="0000FF" w:themeColor="hyperlink"/>
      <w:u w:val="single"/>
    </w:rPr>
  </w:style>
  <w:style w:type="character" w:styleId="28">
    <w:name w:val="annotation reference"/>
    <w:basedOn w:val="26"/>
    <w:autoRedefine/>
    <w:qFormat/>
    <w:uiPriority w:val="0"/>
    <w:rPr>
      <w:sz w:val="21"/>
      <w:szCs w:val="21"/>
    </w:rPr>
  </w:style>
  <w:style w:type="character" w:styleId="29">
    <w:name w:val="footnote reference"/>
    <w:basedOn w:val="26"/>
    <w:autoRedefine/>
    <w:qFormat/>
    <w:uiPriority w:val="0"/>
    <w:rPr>
      <w:rFonts w:ascii="Times New Roman" w:hAnsi="Times New Roman" w:eastAsia="宋体"/>
      <w:sz w:val="21"/>
      <w:vertAlign w:val="superscript"/>
    </w:rPr>
  </w:style>
  <w:style w:type="character" w:customStyle="1" w:styleId="30">
    <w:name w:val="标题 1 Char"/>
    <w:basedOn w:val="26"/>
    <w:link w:val="2"/>
    <w:autoRedefine/>
    <w:qFormat/>
    <w:uiPriority w:val="0"/>
    <w:rPr>
      <w:rFonts w:ascii="Calibri" w:hAnsi="Calibri" w:eastAsia="黑体" w:cs="黑体"/>
      <w:kern w:val="44"/>
      <w:sz w:val="32"/>
      <w:szCs w:val="22"/>
    </w:rPr>
  </w:style>
  <w:style w:type="character" w:customStyle="1" w:styleId="31">
    <w:name w:val="标题 2 Char"/>
    <w:basedOn w:val="26"/>
    <w:link w:val="3"/>
    <w:autoRedefine/>
    <w:qFormat/>
    <w:uiPriority w:val="0"/>
    <w:rPr>
      <w:rFonts w:ascii="仿宋_GB2312" w:eastAsia="仿宋_GB2312"/>
      <w:bCs/>
      <w:kern w:val="2"/>
      <w:sz w:val="32"/>
      <w:szCs w:val="32"/>
    </w:rPr>
  </w:style>
  <w:style w:type="character" w:customStyle="1" w:styleId="32">
    <w:name w:val="标题 3 Char"/>
    <w:basedOn w:val="26"/>
    <w:link w:val="4"/>
    <w:autoRedefine/>
    <w:qFormat/>
    <w:uiPriority w:val="0"/>
    <w:rPr>
      <w:rFonts w:ascii="Times New Roman" w:hAnsi="Times New Roman" w:eastAsia="仿宋_GB2312" w:cs="黑体"/>
      <w:b/>
      <w:sz w:val="32"/>
      <w:szCs w:val="22"/>
    </w:rPr>
  </w:style>
  <w:style w:type="character" w:customStyle="1" w:styleId="33">
    <w:name w:val="批注文字 Char"/>
    <w:basedOn w:val="26"/>
    <w:link w:val="7"/>
    <w:autoRedefine/>
    <w:qFormat/>
    <w:uiPriority w:val="0"/>
    <w:rPr>
      <w:rFonts w:ascii="Calibri" w:hAnsi="Calibri" w:eastAsia="宋体" w:cs="黑体"/>
      <w:kern w:val="0"/>
    </w:rPr>
  </w:style>
  <w:style w:type="character" w:customStyle="1" w:styleId="34">
    <w:name w:val="正文文本缩进 Char"/>
    <w:basedOn w:val="26"/>
    <w:link w:val="9"/>
    <w:autoRedefine/>
    <w:qFormat/>
    <w:uiPriority w:val="0"/>
  </w:style>
  <w:style w:type="character" w:customStyle="1" w:styleId="35">
    <w:name w:val="批注框文本 Char"/>
    <w:basedOn w:val="26"/>
    <w:link w:val="13"/>
    <w:autoRedefine/>
    <w:qFormat/>
    <w:uiPriority w:val="0"/>
    <w:rPr>
      <w:rFonts w:ascii="Calibri" w:hAnsi="Calibri" w:eastAsia="宋体" w:cs="黑体"/>
      <w:kern w:val="0"/>
      <w:sz w:val="18"/>
      <w:szCs w:val="18"/>
    </w:rPr>
  </w:style>
  <w:style w:type="character" w:customStyle="1" w:styleId="36">
    <w:name w:val="页脚 Char"/>
    <w:basedOn w:val="26"/>
    <w:link w:val="14"/>
    <w:autoRedefine/>
    <w:qFormat/>
    <w:uiPriority w:val="99"/>
    <w:rPr>
      <w:rFonts w:ascii="Calibri" w:hAnsi="Calibri" w:eastAsia="宋体" w:cs="黑体"/>
      <w:sz w:val="18"/>
      <w:szCs w:val="18"/>
    </w:rPr>
  </w:style>
  <w:style w:type="character" w:customStyle="1" w:styleId="37">
    <w:name w:val="页眉 Char"/>
    <w:basedOn w:val="26"/>
    <w:link w:val="15"/>
    <w:autoRedefine/>
    <w:qFormat/>
    <w:uiPriority w:val="0"/>
    <w:rPr>
      <w:rFonts w:ascii="Calibri" w:hAnsi="Calibri" w:eastAsia="宋体" w:cs="黑体"/>
      <w:kern w:val="0"/>
      <w:sz w:val="18"/>
      <w:szCs w:val="18"/>
    </w:rPr>
  </w:style>
  <w:style w:type="character" w:customStyle="1" w:styleId="38">
    <w:name w:val="脚注文本 Char"/>
    <w:basedOn w:val="26"/>
    <w:link w:val="18"/>
    <w:autoRedefine/>
    <w:qFormat/>
    <w:uiPriority w:val="0"/>
    <w:rPr>
      <w:rFonts w:ascii="Times New Roman" w:hAnsi="Times New Roman" w:eastAsia="宋体" w:cs="黑体"/>
      <w:kern w:val="2"/>
      <w:sz w:val="18"/>
      <w:szCs w:val="18"/>
    </w:rPr>
  </w:style>
  <w:style w:type="character" w:customStyle="1" w:styleId="39">
    <w:name w:val="正文首行缩进 2 Char"/>
    <w:basedOn w:val="34"/>
    <w:link w:val="23"/>
    <w:autoRedefine/>
    <w:qFormat/>
    <w:uiPriority w:val="0"/>
    <w:rPr>
      <w:rFonts w:ascii="Calibri" w:hAnsi="Calibri" w:eastAsia="方正仿宋_GB2312" w:cs="黑体"/>
      <w:kern w:val="0"/>
      <w:sz w:val="28"/>
      <w:szCs w:val="28"/>
    </w:rPr>
  </w:style>
  <w:style w:type="paragraph" w:customStyle="1" w:styleId="40">
    <w:name w:val="正文首行缩进 21"/>
    <w:basedOn w:val="41"/>
    <w:autoRedefine/>
    <w:qFormat/>
    <w:uiPriority w:val="0"/>
    <w:pPr>
      <w:spacing w:line="560" w:lineRule="exact"/>
    </w:pPr>
    <w:rPr>
      <w:rFonts w:eastAsia="方正仿宋_GB2312"/>
      <w:szCs w:val="28"/>
    </w:rPr>
  </w:style>
  <w:style w:type="paragraph" w:customStyle="1" w:styleId="41">
    <w:name w:val="正文文本缩进1"/>
    <w:basedOn w:val="1"/>
    <w:autoRedefine/>
    <w:qFormat/>
    <w:uiPriority w:val="0"/>
    <w:pPr>
      <w:spacing w:line="0" w:lineRule="atLeast"/>
      <w:ind w:left="-125"/>
      <w:jc w:val="left"/>
    </w:pPr>
    <w:rPr>
      <w:rFonts w:ascii="Calibri" w:hAnsi="Calibri" w:eastAsia="宋体" w:cs="黑体"/>
      <w:kern w:val="0"/>
      <w:sz w:val="28"/>
    </w:rPr>
  </w:style>
  <w:style w:type="paragraph" w:customStyle="1" w:styleId="42">
    <w:name w:val="正文缩进1"/>
    <w:basedOn w:val="1"/>
    <w:autoRedefine/>
    <w:qFormat/>
    <w:uiPriority w:val="0"/>
    <w:pPr>
      <w:ind w:firstLine="420"/>
    </w:pPr>
    <w:rPr>
      <w:rFonts w:eastAsia="宋体" w:cs="黑体"/>
      <w:kern w:val="0"/>
      <w:szCs w:val="32"/>
    </w:rPr>
  </w:style>
  <w:style w:type="paragraph" w:customStyle="1" w:styleId="43">
    <w:name w:val="纯文本1"/>
    <w:basedOn w:val="1"/>
    <w:autoRedefine/>
    <w:qFormat/>
    <w:uiPriority w:val="0"/>
    <w:rPr>
      <w:rFonts w:ascii="宋体" w:hAnsi="Courier New" w:eastAsia="宋体" w:cs="Courier New"/>
      <w:kern w:val="0"/>
      <w:szCs w:val="21"/>
    </w:rPr>
  </w:style>
  <w:style w:type="paragraph" w:customStyle="1" w:styleId="44">
    <w:name w:val="普通(网站)1"/>
    <w:basedOn w:val="1"/>
    <w:autoRedefine/>
    <w:qFormat/>
    <w:uiPriority w:val="0"/>
    <w:pPr>
      <w:spacing w:beforeAutospacing="1" w:afterAutospacing="1"/>
      <w:jc w:val="left"/>
    </w:pPr>
    <w:rPr>
      <w:rFonts w:ascii="Calibri" w:hAnsi="Calibri" w:eastAsia="宋体" w:cs="黑体"/>
      <w:kern w:val="0"/>
      <w:sz w:val="24"/>
    </w:rPr>
  </w:style>
  <w:style w:type="character" w:customStyle="1" w:styleId="45">
    <w:name w:val="NormalCharacter"/>
    <w:autoRedefine/>
    <w:qFormat/>
    <w:uiPriority w:val="0"/>
    <w:rPr>
      <w:rFonts w:ascii="Calibri" w:hAnsi="Calibri" w:eastAsia="宋体"/>
    </w:rPr>
  </w:style>
  <w:style w:type="paragraph" w:customStyle="1" w:styleId="46">
    <w:name w:val="Normal Indent1"/>
    <w:autoRedefine/>
    <w:qFormat/>
    <w:uiPriority w:val="99"/>
    <w:pPr>
      <w:widowControl w:val="0"/>
      <w:ind w:firstLine="420" w:firstLineChars="200"/>
      <w:jc w:val="both"/>
    </w:pPr>
    <w:rPr>
      <w:rFonts w:ascii="Times New Roman" w:hAnsi="Times New Roman" w:eastAsia="仿宋_GB2312" w:cs="Times New Roman"/>
      <w:kern w:val="2"/>
      <w:sz w:val="32"/>
      <w:szCs w:val="22"/>
      <w:lang w:val="en-US" w:eastAsia="zh-CN" w:bidi="ar-SA"/>
    </w:rPr>
  </w:style>
  <w:style w:type="paragraph" w:customStyle="1" w:styleId="47">
    <w:name w:val="WPSOffice手动目录 1"/>
    <w:autoRedefine/>
    <w:qFormat/>
    <w:uiPriority w:val="0"/>
    <w:rPr>
      <w:rFonts w:ascii="Times New Roman" w:hAnsi="Times New Roman" w:eastAsia="宋体" w:cs="Times New Roman"/>
      <w:lang w:val="en-US" w:eastAsia="zh-CN" w:bidi="ar-SA"/>
    </w:rPr>
  </w:style>
  <w:style w:type="paragraph" w:customStyle="1" w:styleId="4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49">
    <w:name w:val="WPSOffice手动目录 3"/>
    <w:autoRedefine/>
    <w:qFormat/>
    <w:uiPriority w:val="0"/>
    <w:pPr>
      <w:ind w:left="400" w:leftChars="400"/>
    </w:pPr>
    <w:rPr>
      <w:rFonts w:ascii="Times New Roman" w:hAnsi="Times New Roman" w:eastAsia="宋体" w:cs="Times New Roman"/>
      <w:lang w:val="en-US" w:eastAsia="zh-CN" w:bidi="ar-SA"/>
    </w:rPr>
  </w:style>
  <w:style w:type="character" w:customStyle="1" w:styleId="50">
    <w:name w:val="目录 3 Char"/>
    <w:link w:val="11"/>
    <w:autoRedefine/>
    <w:qFormat/>
    <w:uiPriority w:val="39"/>
    <w:rPr>
      <w:rFonts w:ascii="Calibri" w:hAnsi="Calibri" w:eastAsia="宋体" w:cs="黑体"/>
      <w:sz w:val="24"/>
      <w:szCs w:val="22"/>
    </w:rPr>
  </w:style>
  <w:style w:type="paragraph" w:customStyle="1" w:styleId="51">
    <w:name w:val="修订1"/>
    <w:autoRedefine/>
    <w:hidden/>
    <w:semiHidden/>
    <w:qFormat/>
    <w:uiPriority w:val="99"/>
    <w:rPr>
      <w:rFonts w:ascii="Calibri" w:hAnsi="Calibri" w:eastAsia="宋体" w:cs="黑体"/>
      <w:sz w:val="21"/>
      <w:szCs w:val="22"/>
      <w:lang w:val="en-US" w:eastAsia="zh-CN" w:bidi="ar-SA"/>
    </w:rPr>
  </w:style>
  <w:style w:type="character" w:customStyle="1" w:styleId="52">
    <w:name w:val="文档结构图 Char"/>
    <w:basedOn w:val="26"/>
    <w:link w:val="6"/>
    <w:autoRedefine/>
    <w:semiHidden/>
    <w:qFormat/>
    <w:uiPriority w:val="99"/>
    <w:rPr>
      <w:rFonts w:ascii="宋体" w:hAnsi="Times New Roman" w:eastAsia="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jpe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9dd2f56b-a36f-414d-bea8-659bd740f1ad</errorID>
      <errorWord>万人民币</errorWord>
      <group>L1_Word</group>
      <groupName>字词问题</groupName>
      <ability>L2_Typo</ability>
      <abilityName>字词错误</abilityName>
      <candidateList>
        <item>万元人民币</item>
      </candidateList>
      <explain/>
      <paraID>6CB419F6</paraID>
      <start>13</start>
      <end>18</end>
      <status>modified</status>
      <modifiedWord>万元人民币</modifiedWord>
      <trackRevisions>false</trackRevisions>
    </reviewItem>
    <reviewItem>
      <errorID>18c77eb3-daad-47b9-9a08-ef8c7122d103</errorID>
      <errorWord>号</errorWord>
      <group>L1_Word</group>
      <groupName>字词问题</groupName>
      <ability>L2_Typo</ability>
      <abilityName>字词错误</abilityName>
      <candidateList>
        <item>号生</item>
      </candidateList>
      <explain/>
      <paraID>2A534D36</paraID>
      <start>25</start>
      <end>26</end>
      <status>unmodified</status>
      <modifiedWord/>
      <trackRevisions>false</trackRevisions>
    </reviewItem>
    <reviewItem>
      <errorID>9748b9ca-6fae-4ce5-8440-4a948ed944bf</errorID>
      <errorWord>2米3</errorWord>
      <group>L1_Word</group>
      <groupName>字词问题</groupName>
      <ability>L2_Typo</ability>
      <abilityName>字词错误</abilityName>
      <candidateList>
        <item>二米三</item>
      </candidateList>
      <explain/>
      <paraID>169305E1</paraID>
      <start>11</start>
      <end>14</end>
      <status>unmodified</status>
      <modifiedWord/>
      <trackRevisions>false</trackRevisions>
    </reviewItem>
    <reviewItem>
      <errorID>f4bfec13-180d-4f7c-a4fe-5e6873e8e67c</errorID>
      <errorWord>2米3</errorWord>
      <group>L1_Word</group>
      <groupName>字词问题</groupName>
      <ability>L2_Typo</ability>
      <abilityName>字词错误</abilityName>
      <candidateList>
        <item>二米三</item>
      </candidateList>
      <explain/>
      <paraID>169305E1</paraID>
      <start>180</start>
      <end>183</end>
      <status>unmodified</status>
      <modifiedWord/>
      <trackRevisions>false</trackRevisions>
    </reviewItem>
    <reviewItem>
      <errorID>11546ce5-2303-43e9-ac06-034071615d6e</errorID>
      <errorWord>2米3</errorWord>
      <group>L1_Word</group>
      <groupName>字词问题</groupName>
      <ability>L2_Typo</ability>
      <abilityName>字词错误</abilityName>
      <candidateList>
        <item>二米三</item>
      </candidateList>
      <explain/>
      <paraID>35088B7E</paraID>
      <start>359</start>
      <end>362</end>
      <status>unmodified</status>
      <modifiedWord/>
      <trackRevisions>false</trackRevisions>
    </reviewItem>
    <reviewItem>
      <errorID>d5a4c959-9da5-4f7a-b72d-575c9b30afe9</errorID>
      <errorWord>并去</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35088B7E</paraID>
      <start>472</start>
      <end>474</end>
      <status>unmodified</status>
      <modifiedWord/>
      <trackRevisions>false</trackRevisions>
    </reviewItem>
    <reviewItem>
      <errorID>2d270c70-e9a7-432a-b390-072b14840910</errorID>
      <errorWord>会</errorWord>
      <group>L1_Word</group>
      <groupName>字词问题</groupName>
      <ability>L2_Typo</ability>
      <abilityName>字词错误</abilityName>
      <candidateList>
        <item>会儿</item>
      </candidateList>
      <explain/>
      <paraID>35088B7E</paraID>
      <start>589</start>
      <end>590</end>
      <status>unmodified</status>
      <modifiedWord/>
      <trackRevisions>false</trackRevisions>
    </reviewItem>
    <reviewItem>
      <errorID>90f29cbd-3cc1-4e71-a275-f77fa21d5981</errorID>
      <errorWord>政纪处分</errorWord>
      <group>L1_Word</group>
      <groupName>字词问题</groupName>
      <ability>L2_Typo</ability>
      <abilityName>字词错误</abilityName>
      <candidateList>
        <item>政务处分</item>
      </candidateList>
      <explain/>
      <paraID>57BFB9FF</paraID>
      <start>9</start>
      <end>13</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c2898-1c1d-4b87-b594-f145e7944f92}">
  <ds:schemaRefs/>
</ds:datastoreItem>
</file>

<file path=customXml/itemProps2.xml><?xml version="1.0" encoding="utf-8"?>
<ds:datastoreItem xmlns:ds="http://schemas.openxmlformats.org/officeDocument/2006/customXml" ds:itemID="{07293818-4EA2-4729-B3C1-B57279434BA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4005</Words>
  <Characters>4288</Characters>
  <Lines>32</Lines>
  <Paragraphs>9</Paragraphs>
  <TotalTime>33</TotalTime>
  <ScaleCrop>false</ScaleCrop>
  <LinksUpToDate>false</LinksUpToDate>
  <CharactersWithSpaces>4316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2023-04-26T11:00:00Z</dcterms:created>
  <dc:creator>ThinkPad</dc:creator>
  <cp:lastModifiedBy>Tyrone周</cp:lastModifiedBy>
  <dcterms:modified xsi:type="dcterms:W3CDTF">2026-04-21T08:29:49Z</dcterms:modified>
  <cp:revision>508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00DC21302C4F45E69D861F22ED2215F4_13</vt:lpwstr>
  </property>
  <property fmtid="{D5CDD505-2E9C-101B-9397-08002B2CF9AE}" pid="3" name="KSOProductBuildVer">
    <vt:lpwstr>2052-12.1.0.25865</vt:lpwstr>
  </property>
  <property fmtid="{D5CDD505-2E9C-101B-9397-08002B2CF9AE}" pid="4" name="KSOTemplateDocerSaveRecord">
    <vt:lpwstr>eyJoZGlkIjoiYjEzZWFhNDE4OTA1ZTRlMGU1NWRmNjJjMWE0NmJlMmEiLCJ1c2VySWQiOiIxMTQ0ODUzNTc0In0=</vt:lpwstr>
  </property>
</Properties>
</file>