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92B0DB">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附件</w:t>
      </w:r>
    </w:p>
    <w:p w14:paraId="06629E1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bCs/>
          <w:sz w:val="44"/>
          <w:szCs w:val="44"/>
        </w:rPr>
      </w:pPr>
    </w:p>
    <w:p w14:paraId="4927AEA0">
      <w:pPr>
        <w:keepNext w:val="0"/>
        <w:keepLines w:val="0"/>
        <w:pageBreakBefore w:val="0"/>
        <w:widowControl w:val="0"/>
        <w:kinsoku/>
        <w:wordWrap/>
        <w:overflowPunct/>
        <w:topLinePunct w:val="0"/>
        <w:autoSpaceDE/>
        <w:autoSpaceDN/>
        <w:bidi w:val="0"/>
        <w:adjustRightInd/>
        <w:spacing w:line="560" w:lineRule="exact"/>
        <w:jc w:val="center"/>
        <w:textAlignment w:val="auto"/>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苏州金海威光塑胶有限公司</w:t>
      </w:r>
    </w:p>
    <w:p w14:paraId="7B7AB6DA">
      <w:pPr>
        <w:keepNext w:val="0"/>
        <w:keepLines w:val="0"/>
        <w:pageBreakBefore w:val="0"/>
        <w:widowControl w:val="0"/>
        <w:kinsoku/>
        <w:wordWrap/>
        <w:overflowPunct/>
        <w:topLinePunct w:val="0"/>
        <w:autoSpaceDE/>
        <w:autoSpaceDN/>
        <w:bidi w:val="0"/>
        <w:adjustRightInd/>
        <w:spacing w:line="560" w:lineRule="exact"/>
        <w:jc w:val="center"/>
        <w:textAlignment w:val="auto"/>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“5·8”一般机械伤害事故调查报告</w:t>
      </w:r>
    </w:p>
    <w:p w14:paraId="6BFACD5C">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Times New Roman" w:hAnsi="Times New Roman" w:eastAsia="宋体" w:cs="Times New Roman"/>
          <w:b/>
          <w:bCs/>
          <w:sz w:val="44"/>
          <w:szCs w:val="44"/>
        </w:rPr>
      </w:pPr>
    </w:p>
    <w:p w14:paraId="4A631A98">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Times New Roman" w:hAnsi="Times New Roman" w:eastAsia="宋体" w:cs="Times New Roman"/>
          <w:b/>
          <w:bCs/>
          <w:sz w:val="44"/>
          <w:szCs w:val="44"/>
        </w:rPr>
      </w:pPr>
    </w:p>
    <w:p w14:paraId="07F0A5CE">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Times New Roman" w:hAnsi="Times New Roman" w:eastAsia="方正小标宋简体" w:cs="Times New Roman"/>
          <w:b/>
          <w:bCs/>
          <w:sz w:val="44"/>
          <w:szCs w:val="44"/>
        </w:rPr>
      </w:pPr>
    </w:p>
    <w:p w14:paraId="3842CA95">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Times New Roman" w:hAnsi="Times New Roman" w:eastAsia="方正小标宋简体" w:cs="Times New Roman"/>
          <w:b/>
          <w:bCs/>
          <w:sz w:val="44"/>
          <w:szCs w:val="44"/>
        </w:rPr>
      </w:pPr>
    </w:p>
    <w:p w14:paraId="73F958E9">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Times New Roman" w:hAnsi="Times New Roman" w:eastAsia="方正小标宋简体" w:cs="Times New Roman"/>
          <w:b/>
          <w:bCs/>
          <w:sz w:val="44"/>
          <w:szCs w:val="44"/>
        </w:rPr>
      </w:pPr>
    </w:p>
    <w:p w14:paraId="0951F31F">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Times New Roman" w:hAnsi="Times New Roman" w:eastAsia="方正小标宋简体" w:cs="Times New Roman"/>
          <w:b/>
          <w:bCs/>
          <w:sz w:val="44"/>
          <w:szCs w:val="44"/>
        </w:rPr>
      </w:pPr>
    </w:p>
    <w:p w14:paraId="5BB527A7">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Times New Roman" w:hAnsi="Times New Roman" w:eastAsia="方正小标宋简体" w:cs="Times New Roman"/>
          <w:b/>
          <w:bCs/>
          <w:sz w:val="44"/>
          <w:szCs w:val="44"/>
        </w:rPr>
      </w:pPr>
    </w:p>
    <w:p w14:paraId="71B086CE">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Times New Roman" w:hAnsi="Times New Roman" w:eastAsia="方正小标宋简体" w:cs="Times New Roman"/>
          <w:b/>
          <w:bCs/>
          <w:sz w:val="44"/>
          <w:szCs w:val="44"/>
        </w:rPr>
      </w:pPr>
    </w:p>
    <w:p w14:paraId="769EC432">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Times New Roman" w:hAnsi="Times New Roman" w:eastAsia="方正小标宋简体" w:cs="Times New Roman"/>
          <w:b/>
          <w:bCs/>
          <w:sz w:val="44"/>
          <w:szCs w:val="44"/>
        </w:rPr>
      </w:pPr>
    </w:p>
    <w:p w14:paraId="099DA4DB">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Times New Roman" w:hAnsi="Times New Roman" w:eastAsia="方正小标宋简体" w:cs="Times New Roman"/>
          <w:b/>
          <w:bCs/>
          <w:sz w:val="44"/>
          <w:szCs w:val="44"/>
        </w:rPr>
      </w:pPr>
    </w:p>
    <w:p w14:paraId="62DF3CE2">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Times New Roman" w:hAnsi="Times New Roman" w:eastAsia="方正小标宋简体" w:cs="Times New Roman"/>
          <w:b/>
          <w:bCs/>
          <w:sz w:val="44"/>
          <w:szCs w:val="44"/>
        </w:rPr>
      </w:pPr>
    </w:p>
    <w:p w14:paraId="526F5BA0">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Times New Roman" w:hAnsi="Times New Roman" w:eastAsia="方正小标宋简体" w:cs="Times New Roman"/>
          <w:b/>
          <w:bCs/>
          <w:sz w:val="44"/>
          <w:szCs w:val="44"/>
        </w:rPr>
      </w:pPr>
    </w:p>
    <w:p w14:paraId="67AA69CF">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Times New Roman" w:hAnsi="Times New Roman" w:eastAsia="方正小标宋简体" w:cs="Times New Roman"/>
          <w:b/>
          <w:bCs/>
          <w:sz w:val="44"/>
          <w:szCs w:val="44"/>
        </w:rPr>
      </w:pPr>
    </w:p>
    <w:p w14:paraId="2E307E76">
      <w:pPr>
        <w:keepNext w:val="0"/>
        <w:keepLines w:val="0"/>
        <w:pageBreakBefore w:val="0"/>
        <w:widowControl w:val="0"/>
        <w:kinsoku/>
        <w:wordWrap/>
        <w:overflowPunct/>
        <w:topLinePunct w:val="0"/>
        <w:autoSpaceDE/>
        <w:autoSpaceDN/>
        <w:bidi w:val="0"/>
        <w:adjustRightInd/>
        <w:spacing w:line="560" w:lineRule="exact"/>
        <w:jc w:val="center"/>
        <w:textAlignment w:val="auto"/>
        <w:rPr>
          <w:rFonts w:ascii="方正小标宋简体" w:hAnsi="方正小标宋简体" w:eastAsia="方正小标宋简体" w:cs="方正小标宋简体"/>
          <w:sz w:val="32"/>
          <w:szCs w:val="32"/>
          <w:highlight w:val="none"/>
        </w:rPr>
      </w:pPr>
      <w:r>
        <w:rPr>
          <w:rFonts w:hint="eastAsia" w:ascii="方正小标宋简体" w:hAnsi="方正小标宋简体" w:eastAsia="方正小标宋简体" w:cs="方正小标宋简体"/>
          <w:sz w:val="32"/>
          <w:szCs w:val="32"/>
          <w:highlight w:val="none"/>
        </w:rPr>
        <w:t xml:space="preserve">编制单位：常熟市人民政府生产安全事故调查组 </w:t>
      </w:r>
    </w:p>
    <w:p w14:paraId="2273B037">
      <w:pPr>
        <w:keepNext w:val="0"/>
        <w:keepLines w:val="0"/>
        <w:pageBreakBefore w:val="0"/>
        <w:widowControl w:val="0"/>
        <w:kinsoku/>
        <w:wordWrap/>
        <w:overflowPunct/>
        <w:topLinePunct w:val="0"/>
        <w:autoSpaceDE/>
        <w:autoSpaceDN/>
        <w:bidi w:val="0"/>
        <w:adjustRightInd/>
        <w:spacing w:line="560" w:lineRule="exact"/>
        <w:jc w:val="center"/>
        <w:textAlignment w:val="auto"/>
        <w:rPr>
          <w:rFonts w:ascii="方正小标宋简体" w:hAnsi="方正小标宋简体" w:eastAsia="方正小标宋简体" w:cs="方正小标宋简体"/>
          <w:sz w:val="32"/>
          <w:szCs w:val="32"/>
          <w:highlight w:val="none"/>
        </w:rPr>
      </w:pPr>
      <w:r>
        <w:rPr>
          <w:rFonts w:hint="eastAsia" w:ascii="方正小标宋简体" w:hAnsi="方正小标宋简体" w:eastAsia="方正小标宋简体" w:cs="方正小标宋简体"/>
          <w:sz w:val="32"/>
          <w:szCs w:val="32"/>
          <w:highlight w:val="none"/>
        </w:rPr>
        <w:t>编制日期：202</w:t>
      </w:r>
      <w:r>
        <w:rPr>
          <w:rFonts w:hint="eastAsia" w:ascii="方正小标宋简体" w:hAnsi="方正小标宋简体" w:eastAsia="方正小标宋简体" w:cs="方正小标宋简体"/>
          <w:sz w:val="32"/>
          <w:szCs w:val="32"/>
          <w:highlight w:val="none"/>
          <w:lang w:val="en-US" w:eastAsia="zh-CN"/>
        </w:rPr>
        <w:t>5</w:t>
      </w:r>
      <w:r>
        <w:rPr>
          <w:rFonts w:hint="eastAsia" w:ascii="方正小标宋简体" w:hAnsi="方正小标宋简体" w:eastAsia="方正小标宋简体" w:cs="方正小标宋简体"/>
          <w:sz w:val="32"/>
          <w:szCs w:val="32"/>
          <w:highlight w:val="none"/>
        </w:rPr>
        <w:t>年</w:t>
      </w:r>
      <w:r>
        <w:rPr>
          <w:rFonts w:hint="eastAsia" w:ascii="方正小标宋简体" w:hAnsi="方正小标宋简体" w:eastAsia="方正小标宋简体" w:cs="方正小标宋简体"/>
          <w:sz w:val="32"/>
          <w:szCs w:val="32"/>
          <w:highlight w:val="none"/>
          <w:lang w:val="en-US" w:eastAsia="zh-CN"/>
        </w:rPr>
        <w:t>7</w:t>
      </w:r>
      <w:r>
        <w:rPr>
          <w:rFonts w:hint="eastAsia" w:ascii="方正小标宋简体" w:hAnsi="方正小标宋简体" w:eastAsia="方正小标宋简体" w:cs="方正小标宋简体"/>
          <w:sz w:val="32"/>
          <w:szCs w:val="32"/>
          <w:highlight w:val="none"/>
        </w:rPr>
        <w:t>月</w:t>
      </w:r>
      <w:r>
        <w:rPr>
          <w:rFonts w:hint="eastAsia" w:ascii="方正小标宋简体" w:hAnsi="方正小标宋简体" w:eastAsia="方正小标宋简体" w:cs="方正小标宋简体"/>
          <w:sz w:val="32"/>
          <w:szCs w:val="32"/>
          <w:highlight w:val="none"/>
          <w:lang w:val="en-US" w:eastAsia="zh-CN"/>
        </w:rPr>
        <w:t>4</w:t>
      </w:r>
      <w:r>
        <w:rPr>
          <w:rFonts w:hint="eastAsia" w:ascii="方正小标宋简体" w:hAnsi="方正小标宋简体" w:eastAsia="方正小标宋简体" w:cs="方正小标宋简体"/>
          <w:sz w:val="32"/>
          <w:szCs w:val="32"/>
          <w:highlight w:val="none"/>
        </w:rPr>
        <w:t>日</w:t>
      </w:r>
    </w:p>
    <w:p w14:paraId="7B0A531A">
      <w:pPr>
        <w:jc w:val="center"/>
        <w:rPr>
          <w:rFonts w:asciiTheme="majorEastAsia" w:hAnsiTheme="majorEastAsia" w:eastAsiaTheme="majorEastAsia" w:cstheme="majorEastAsia"/>
          <w:b/>
          <w:bCs/>
          <w:sz w:val="44"/>
          <w:szCs w:val="44"/>
          <w:highlight w:val="none"/>
        </w:rPr>
      </w:pPr>
    </w:p>
    <w:p w14:paraId="533755A9">
      <w:pPr>
        <w:spacing w:line="360" w:lineRule="auto"/>
        <w:jc w:val="center"/>
        <w:rPr>
          <w:rFonts w:ascii="宋体" w:hAnsi="宋体" w:eastAsia="宋体"/>
          <w:highlight w:val="none"/>
        </w:rPr>
        <w:sectPr>
          <w:pgSz w:w="11906" w:h="16838"/>
          <w:pgMar w:top="2098" w:right="1474" w:bottom="1984" w:left="1587" w:header="851" w:footer="1417" w:gutter="0"/>
          <w:pgBorders>
            <w:top w:val="none" w:sz="0" w:space="0"/>
            <w:left w:val="none" w:sz="0" w:space="0"/>
            <w:bottom w:val="none" w:sz="0" w:space="0"/>
            <w:right w:val="none" w:sz="0" w:space="0"/>
          </w:pgBorders>
          <w:pgNumType w:fmt="numberInDash"/>
          <w:cols w:space="0" w:num="1"/>
          <w:rtlGutter w:val="0"/>
          <w:docGrid w:type="lines" w:linePitch="312" w:charSpace="0"/>
        </w:sectPr>
      </w:pPr>
    </w:p>
    <w:sdt>
      <w:sdtPr>
        <w:rPr>
          <w:rFonts w:ascii="宋体" w:hAnsi="宋体" w:eastAsia="宋体"/>
          <w:sz w:val="32"/>
          <w:szCs w:val="32"/>
          <w:highlight w:val="none"/>
        </w:rPr>
        <w:id w:val="147452008"/>
        <w:docPartObj>
          <w:docPartGallery w:val="Table of Contents"/>
          <w:docPartUnique/>
        </w:docPartObj>
      </w:sdtPr>
      <w:sdtEndPr>
        <w:rPr>
          <w:rFonts w:hint="eastAsia" w:asciiTheme="minorHAnsi" w:hAnsiTheme="minorHAnsi" w:eastAsiaTheme="minorEastAsia"/>
          <w:sz w:val="32"/>
          <w:szCs w:val="32"/>
          <w:highlight w:val="none"/>
        </w:rPr>
      </w:sdtEndPr>
      <w:sdtContent>
        <w:p w14:paraId="40C3D1C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sz w:val="32"/>
              <w:szCs w:val="32"/>
              <w:highlight w:val="none"/>
            </w:rPr>
          </w:pPr>
          <w:r>
            <w:rPr>
              <w:rFonts w:ascii="宋体" w:hAnsi="宋体" w:eastAsia="宋体"/>
              <w:sz w:val="32"/>
              <w:szCs w:val="32"/>
              <w:highlight w:val="none"/>
            </w:rPr>
            <w:t>目</w:t>
          </w:r>
          <w:r>
            <w:rPr>
              <w:rFonts w:hint="eastAsia" w:ascii="宋体" w:hAnsi="宋体" w:eastAsia="宋体"/>
              <w:sz w:val="32"/>
              <w:szCs w:val="32"/>
              <w:highlight w:val="none"/>
              <w:lang w:val="en-US" w:eastAsia="zh-CN"/>
            </w:rPr>
            <w:t xml:space="preserve"> </w:t>
          </w:r>
          <w:r>
            <w:rPr>
              <w:rFonts w:ascii="宋体" w:hAnsi="宋体" w:eastAsia="宋体"/>
              <w:sz w:val="32"/>
              <w:szCs w:val="32"/>
              <w:highlight w:val="none"/>
            </w:rPr>
            <w:t>录</w:t>
          </w:r>
        </w:p>
        <w:p w14:paraId="42152A00">
          <w:pPr>
            <w:pStyle w:val="5"/>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rPr>
              <w:highlight w:val="none"/>
            </w:rPr>
          </w:pPr>
          <w:r>
            <w:rPr>
              <w:rFonts w:hint="eastAsia" w:eastAsia="宋体"/>
              <w:sz w:val="32"/>
              <w:highlight w:val="none"/>
            </w:rPr>
            <w:fldChar w:fldCharType="begin"/>
          </w:r>
          <w:r>
            <w:rPr>
              <w:rFonts w:hint="eastAsia" w:eastAsia="宋体"/>
              <w:sz w:val="32"/>
              <w:highlight w:val="none"/>
            </w:rPr>
            <w:instrText xml:space="preserve">TOC \o "1-3" \h \u </w:instrText>
          </w:r>
          <w:r>
            <w:rPr>
              <w:rFonts w:hint="eastAsia" w:eastAsia="宋体"/>
              <w:sz w:val="32"/>
              <w:highlight w:val="none"/>
            </w:rPr>
            <w:fldChar w:fldCharType="separate"/>
          </w:r>
          <w:r>
            <w:rPr>
              <w:highlight w:val="none"/>
            </w:rPr>
            <w:fldChar w:fldCharType="begin"/>
          </w:r>
          <w:r>
            <w:rPr>
              <w:highlight w:val="none"/>
            </w:rPr>
            <w:instrText xml:space="preserve"> HYPERLINK \l "_Toc12166" </w:instrText>
          </w:r>
          <w:r>
            <w:rPr>
              <w:highlight w:val="none"/>
            </w:rPr>
            <w:fldChar w:fldCharType="separate"/>
          </w:r>
          <w:r>
            <w:rPr>
              <w:rFonts w:hint="eastAsia" w:ascii="黑体" w:hAnsi="黑体" w:eastAsia="黑体" w:cs="黑体"/>
              <w:sz w:val="24"/>
              <w:highlight w:val="none"/>
            </w:rPr>
            <w:t>一、 事故基本情况</w:t>
          </w:r>
          <w:r>
            <w:rPr>
              <w:rFonts w:hint="eastAsia" w:ascii="黑体" w:hAnsi="黑体" w:eastAsia="黑体" w:cs="黑体"/>
              <w:sz w:val="24"/>
              <w:highlight w:val="none"/>
            </w:rPr>
            <w:tab/>
          </w:r>
          <w:r>
            <w:rPr>
              <w:rFonts w:hint="eastAsia" w:ascii="宋体" w:hAnsi="宋体" w:eastAsia="宋体" w:cs="宋体"/>
              <w:sz w:val="24"/>
              <w:highlight w:val="none"/>
            </w:rPr>
            <w:fldChar w:fldCharType="begin"/>
          </w:r>
          <w:r>
            <w:rPr>
              <w:rFonts w:hint="eastAsia" w:ascii="宋体" w:hAnsi="宋体" w:eastAsia="宋体" w:cs="宋体"/>
              <w:sz w:val="24"/>
              <w:highlight w:val="none"/>
            </w:rPr>
            <w:instrText xml:space="preserve"> PAGEREF _Toc12166 \h </w:instrText>
          </w:r>
          <w:r>
            <w:rPr>
              <w:rFonts w:hint="eastAsia" w:ascii="宋体" w:hAnsi="宋体" w:eastAsia="宋体" w:cs="宋体"/>
              <w:sz w:val="24"/>
              <w:highlight w:val="none"/>
            </w:rPr>
            <w:fldChar w:fldCharType="separate"/>
          </w:r>
          <w:r>
            <w:rPr>
              <w:rFonts w:hint="eastAsia" w:ascii="宋体" w:hAnsi="宋体" w:eastAsia="宋体" w:cs="宋体"/>
              <w:sz w:val="24"/>
              <w:highlight w:val="none"/>
            </w:rPr>
            <w:t>- 1 -</w:t>
          </w:r>
          <w:r>
            <w:rPr>
              <w:rFonts w:hint="eastAsia" w:ascii="宋体" w:hAnsi="宋体" w:eastAsia="宋体" w:cs="宋体"/>
              <w:sz w:val="24"/>
              <w:highlight w:val="none"/>
            </w:rPr>
            <w:fldChar w:fldCharType="end"/>
          </w:r>
          <w:r>
            <w:rPr>
              <w:rFonts w:hint="eastAsia" w:ascii="宋体" w:hAnsi="宋体" w:eastAsia="宋体" w:cs="宋体"/>
              <w:sz w:val="24"/>
              <w:highlight w:val="none"/>
            </w:rPr>
            <w:fldChar w:fldCharType="end"/>
          </w:r>
        </w:p>
        <w:p w14:paraId="065A9089">
          <w:pPr>
            <w:pStyle w:val="7"/>
            <w:keepNext w:val="0"/>
            <w:keepLines w:val="0"/>
            <w:pageBreakBefore w:val="0"/>
            <w:widowControl w:val="0"/>
            <w:tabs>
              <w:tab w:val="right" w:leader="dot" w:pos="8845"/>
            </w:tabs>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4"/>
              <w:highlight w:val="none"/>
            </w:rPr>
          </w:pPr>
          <w:r>
            <w:rPr>
              <w:highlight w:val="none"/>
            </w:rPr>
            <w:fldChar w:fldCharType="begin"/>
          </w:r>
          <w:r>
            <w:rPr>
              <w:highlight w:val="none"/>
            </w:rPr>
            <w:instrText xml:space="preserve"> HYPERLINK \l "_Toc7204" </w:instrText>
          </w:r>
          <w:r>
            <w:rPr>
              <w:highlight w:val="none"/>
            </w:rPr>
            <w:fldChar w:fldCharType="separate"/>
          </w:r>
          <w:r>
            <w:rPr>
              <w:rFonts w:hint="eastAsia" w:ascii="宋体" w:hAnsi="宋体" w:eastAsia="宋体" w:cs="宋体"/>
              <w:sz w:val="24"/>
              <w:highlight w:val="none"/>
            </w:rPr>
            <w:t>（一）事故发生单位概况</w:t>
          </w:r>
          <w:r>
            <w:rPr>
              <w:rFonts w:hint="eastAsia" w:ascii="宋体" w:hAnsi="宋体" w:eastAsia="宋体" w:cs="宋体"/>
              <w:sz w:val="24"/>
              <w:highlight w:val="none"/>
            </w:rPr>
            <w:tab/>
          </w:r>
          <w:r>
            <w:rPr>
              <w:rFonts w:hint="eastAsia" w:ascii="宋体" w:hAnsi="宋体" w:eastAsia="宋体" w:cs="宋体"/>
              <w:sz w:val="24"/>
              <w:highlight w:val="none"/>
            </w:rPr>
            <w:fldChar w:fldCharType="begin"/>
          </w:r>
          <w:r>
            <w:rPr>
              <w:rFonts w:hint="eastAsia" w:ascii="宋体" w:hAnsi="宋体" w:eastAsia="宋体" w:cs="宋体"/>
              <w:sz w:val="24"/>
              <w:highlight w:val="none"/>
            </w:rPr>
            <w:instrText xml:space="preserve"> PAGEREF _Toc7204 \h </w:instrText>
          </w:r>
          <w:r>
            <w:rPr>
              <w:rFonts w:hint="eastAsia" w:ascii="宋体" w:hAnsi="宋体" w:eastAsia="宋体" w:cs="宋体"/>
              <w:sz w:val="24"/>
              <w:highlight w:val="none"/>
            </w:rPr>
            <w:fldChar w:fldCharType="separate"/>
          </w:r>
          <w:r>
            <w:rPr>
              <w:rFonts w:hint="eastAsia" w:ascii="宋体" w:hAnsi="宋体" w:eastAsia="宋体" w:cs="宋体"/>
              <w:sz w:val="24"/>
              <w:highlight w:val="none"/>
            </w:rPr>
            <w:t>- 1 -</w:t>
          </w:r>
          <w:r>
            <w:rPr>
              <w:rFonts w:hint="eastAsia" w:ascii="宋体" w:hAnsi="宋体" w:eastAsia="宋体" w:cs="宋体"/>
              <w:sz w:val="24"/>
              <w:highlight w:val="none"/>
            </w:rPr>
            <w:fldChar w:fldCharType="end"/>
          </w:r>
          <w:r>
            <w:rPr>
              <w:rFonts w:hint="eastAsia" w:ascii="宋体" w:hAnsi="宋体" w:eastAsia="宋体" w:cs="宋体"/>
              <w:sz w:val="24"/>
              <w:highlight w:val="none"/>
            </w:rPr>
            <w:fldChar w:fldCharType="end"/>
          </w:r>
        </w:p>
        <w:p w14:paraId="2BD2F9DD">
          <w:pPr>
            <w:pStyle w:val="7"/>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rPr>
              <w:rFonts w:hint="eastAsia" w:ascii="宋体" w:hAnsi="宋体" w:eastAsia="宋体" w:cs="宋体"/>
              <w:sz w:val="24"/>
              <w:highlight w:val="none"/>
            </w:rPr>
          </w:pPr>
          <w:r>
            <w:rPr>
              <w:highlight w:val="none"/>
            </w:rPr>
            <w:fldChar w:fldCharType="begin"/>
          </w:r>
          <w:r>
            <w:rPr>
              <w:highlight w:val="none"/>
            </w:rPr>
            <w:instrText xml:space="preserve"> HYPERLINK \l "_Toc23408" </w:instrText>
          </w:r>
          <w:r>
            <w:rPr>
              <w:highlight w:val="none"/>
            </w:rPr>
            <w:fldChar w:fldCharType="separate"/>
          </w:r>
          <w:r>
            <w:rPr>
              <w:rFonts w:hint="eastAsia" w:ascii="宋体" w:hAnsi="宋体" w:eastAsia="宋体" w:cs="宋体"/>
              <w:sz w:val="24"/>
              <w:highlight w:val="none"/>
            </w:rPr>
            <w:t>（</w:t>
          </w:r>
          <w:r>
            <w:rPr>
              <w:rFonts w:hint="eastAsia" w:ascii="宋体" w:hAnsi="宋体" w:eastAsia="宋体" w:cs="宋体"/>
              <w:sz w:val="24"/>
              <w:highlight w:val="none"/>
              <w:lang w:val="en-US" w:eastAsia="zh-CN"/>
            </w:rPr>
            <w:t>二</w:t>
          </w:r>
          <w:r>
            <w:rPr>
              <w:rFonts w:hint="eastAsia" w:ascii="宋体" w:hAnsi="宋体" w:eastAsia="宋体" w:cs="宋体"/>
              <w:sz w:val="24"/>
              <w:highlight w:val="none"/>
            </w:rPr>
            <w:t>）安全管理情况</w:t>
          </w:r>
          <w:r>
            <w:rPr>
              <w:rFonts w:hint="eastAsia" w:ascii="宋体" w:hAnsi="宋体" w:eastAsia="宋体" w:cs="宋体"/>
              <w:sz w:val="24"/>
              <w:highlight w:val="none"/>
            </w:rPr>
            <w:tab/>
          </w:r>
          <w:r>
            <w:rPr>
              <w:rFonts w:hint="eastAsia" w:ascii="宋体" w:hAnsi="宋体" w:eastAsia="宋体" w:cs="宋体"/>
              <w:sz w:val="24"/>
              <w:highlight w:val="none"/>
            </w:rPr>
            <w:fldChar w:fldCharType="begin"/>
          </w:r>
          <w:r>
            <w:rPr>
              <w:rFonts w:hint="eastAsia" w:ascii="宋体" w:hAnsi="宋体" w:eastAsia="宋体" w:cs="宋体"/>
              <w:sz w:val="24"/>
              <w:highlight w:val="none"/>
            </w:rPr>
            <w:instrText xml:space="preserve"> PAGEREF _Toc7204 \h </w:instrText>
          </w:r>
          <w:r>
            <w:rPr>
              <w:rFonts w:hint="eastAsia" w:ascii="宋体" w:hAnsi="宋体" w:eastAsia="宋体" w:cs="宋体"/>
              <w:sz w:val="24"/>
              <w:highlight w:val="none"/>
            </w:rPr>
            <w:fldChar w:fldCharType="separate"/>
          </w:r>
          <w:r>
            <w:rPr>
              <w:rFonts w:hint="eastAsia" w:ascii="宋体" w:hAnsi="宋体" w:eastAsia="宋体" w:cs="宋体"/>
              <w:sz w:val="24"/>
              <w:highlight w:val="none"/>
            </w:rPr>
            <w:t>- 1 -</w:t>
          </w:r>
          <w:r>
            <w:rPr>
              <w:rFonts w:hint="eastAsia" w:ascii="宋体" w:hAnsi="宋体" w:eastAsia="宋体" w:cs="宋体"/>
              <w:sz w:val="24"/>
              <w:highlight w:val="none"/>
            </w:rPr>
            <w:fldChar w:fldCharType="end"/>
          </w:r>
          <w:r>
            <w:rPr>
              <w:rFonts w:hint="eastAsia" w:ascii="宋体" w:hAnsi="宋体" w:eastAsia="宋体" w:cs="宋体"/>
              <w:sz w:val="24"/>
              <w:highlight w:val="none"/>
            </w:rPr>
            <w:fldChar w:fldCharType="end"/>
          </w:r>
        </w:p>
        <w:p w14:paraId="408B2515">
          <w:pPr>
            <w:pStyle w:val="7"/>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rPr>
              <w:rFonts w:hint="eastAsia" w:ascii="宋体" w:hAnsi="宋体" w:eastAsia="宋体" w:cs="宋体"/>
              <w:sz w:val="24"/>
              <w:highlight w:val="none"/>
            </w:rPr>
          </w:pPr>
          <w:r>
            <w:rPr>
              <w:highlight w:val="none"/>
            </w:rPr>
            <w:fldChar w:fldCharType="begin"/>
          </w:r>
          <w:r>
            <w:rPr>
              <w:highlight w:val="none"/>
            </w:rPr>
            <w:instrText xml:space="preserve"> HYPERLINK \l "_Toc29829" </w:instrText>
          </w:r>
          <w:r>
            <w:rPr>
              <w:highlight w:val="none"/>
            </w:rPr>
            <w:fldChar w:fldCharType="separate"/>
          </w:r>
          <w:r>
            <w:rPr>
              <w:rFonts w:hint="eastAsia" w:ascii="宋体" w:hAnsi="宋体" w:eastAsia="宋体" w:cs="宋体"/>
              <w:sz w:val="24"/>
              <w:highlight w:val="none"/>
            </w:rPr>
            <w:t>（</w:t>
          </w:r>
          <w:r>
            <w:rPr>
              <w:rFonts w:hint="eastAsia" w:ascii="宋体" w:hAnsi="宋体" w:eastAsia="宋体" w:cs="宋体"/>
              <w:sz w:val="24"/>
              <w:highlight w:val="none"/>
              <w:lang w:val="en-US" w:eastAsia="zh-CN"/>
            </w:rPr>
            <w:t>三</w:t>
          </w:r>
          <w:r>
            <w:rPr>
              <w:rFonts w:hint="eastAsia" w:ascii="宋体" w:hAnsi="宋体" w:eastAsia="宋体" w:cs="宋体"/>
              <w:sz w:val="24"/>
              <w:highlight w:val="none"/>
            </w:rPr>
            <w:t>）</w:t>
          </w:r>
          <w:r>
            <w:rPr>
              <w:rFonts w:hint="eastAsia" w:ascii="宋体" w:hAnsi="宋体" w:eastAsia="宋体" w:cs="宋体"/>
              <w:sz w:val="24"/>
              <w:highlight w:val="none"/>
              <w:lang w:val="en-US" w:eastAsia="zh-CN"/>
            </w:rPr>
            <w:t>事故发生经过</w:t>
          </w:r>
          <w:r>
            <w:rPr>
              <w:rFonts w:hint="eastAsia" w:ascii="宋体" w:hAnsi="宋体" w:eastAsia="宋体" w:cs="宋体"/>
              <w:sz w:val="24"/>
              <w:highlight w:val="none"/>
            </w:rPr>
            <w:tab/>
          </w:r>
          <w:r>
            <w:rPr>
              <w:rFonts w:hint="eastAsia" w:ascii="宋体" w:hAnsi="宋体" w:eastAsia="宋体" w:cs="宋体"/>
              <w:sz w:val="24"/>
              <w:highlight w:val="none"/>
            </w:rPr>
            <w:fldChar w:fldCharType="begin"/>
          </w:r>
          <w:r>
            <w:rPr>
              <w:rFonts w:hint="eastAsia" w:ascii="宋体" w:hAnsi="宋体" w:eastAsia="宋体" w:cs="宋体"/>
              <w:sz w:val="24"/>
              <w:highlight w:val="none"/>
            </w:rPr>
            <w:instrText xml:space="preserve"> PAGEREF _Toc7204 \h </w:instrText>
          </w:r>
          <w:r>
            <w:rPr>
              <w:rFonts w:hint="eastAsia" w:ascii="宋体" w:hAnsi="宋体" w:eastAsia="宋体" w:cs="宋体"/>
              <w:sz w:val="24"/>
              <w:highlight w:val="none"/>
            </w:rPr>
            <w:fldChar w:fldCharType="separate"/>
          </w:r>
          <w:r>
            <w:rPr>
              <w:rFonts w:hint="eastAsia" w:ascii="宋体" w:hAnsi="宋体" w:eastAsia="宋体" w:cs="宋体"/>
              <w:sz w:val="24"/>
              <w:highlight w:val="none"/>
            </w:rPr>
            <w:t xml:space="preserve">- </w:t>
          </w:r>
          <w:r>
            <w:rPr>
              <w:rFonts w:hint="eastAsia" w:ascii="宋体" w:hAnsi="宋体" w:eastAsia="宋体" w:cs="宋体"/>
              <w:sz w:val="24"/>
              <w:highlight w:val="none"/>
              <w:lang w:val="en-US" w:eastAsia="zh-CN"/>
            </w:rPr>
            <w:t>2</w:t>
          </w:r>
          <w:r>
            <w:rPr>
              <w:rFonts w:hint="eastAsia" w:ascii="宋体" w:hAnsi="宋体" w:eastAsia="宋体" w:cs="宋体"/>
              <w:sz w:val="24"/>
              <w:highlight w:val="none"/>
            </w:rPr>
            <w:t xml:space="preserve"> -</w:t>
          </w:r>
          <w:r>
            <w:rPr>
              <w:rFonts w:hint="eastAsia" w:ascii="宋体" w:hAnsi="宋体" w:eastAsia="宋体" w:cs="宋体"/>
              <w:sz w:val="24"/>
              <w:highlight w:val="none"/>
            </w:rPr>
            <w:fldChar w:fldCharType="end"/>
          </w:r>
          <w:r>
            <w:rPr>
              <w:rFonts w:hint="eastAsia" w:ascii="宋体" w:hAnsi="宋体" w:eastAsia="宋体" w:cs="宋体"/>
              <w:sz w:val="24"/>
              <w:highlight w:val="none"/>
            </w:rPr>
            <w:fldChar w:fldCharType="end"/>
          </w:r>
        </w:p>
        <w:p w14:paraId="7D86EB53">
          <w:pPr>
            <w:pStyle w:val="7"/>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rPr>
              <w:highlight w:val="none"/>
            </w:rPr>
          </w:pPr>
          <w:r>
            <w:rPr>
              <w:highlight w:val="none"/>
            </w:rPr>
            <w:fldChar w:fldCharType="begin"/>
          </w:r>
          <w:r>
            <w:rPr>
              <w:highlight w:val="none"/>
            </w:rPr>
            <w:instrText xml:space="preserve"> HYPERLINK \l "_Toc29829" </w:instrText>
          </w:r>
          <w:r>
            <w:rPr>
              <w:highlight w:val="none"/>
            </w:rPr>
            <w:fldChar w:fldCharType="separate"/>
          </w:r>
          <w:r>
            <w:rPr>
              <w:rFonts w:hint="eastAsia" w:ascii="宋体" w:hAnsi="宋体" w:eastAsia="宋体" w:cs="宋体"/>
              <w:sz w:val="24"/>
              <w:highlight w:val="none"/>
            </w:rPr>
            <w:t>（</w:t>
          </w:r>
          <w:r>
            <w:rPr>
              <w:rFonts w:hint="eastAsia" w:ascii="宋体" w:hAnsi="宋体" w:eastAsia="宋体" w:cs="宋体"/>
              <w:sz w:val="24"/>
              <w:highlight w:val="none"/>
              <w:lang w:val="en-US" w:eastAsia="zh-CN"/>
            </w:rPr>
            <w:t>四</w:t>
          </w:r>
          <w:r>
            <w:rPr>
              <w:rFonts w:hint="eastAsia" w:ascii="宋体" w:hAnsi="宋体" w:eastAsia="宋体" w:cs="宋体"/>
              <w:sz w:val="24"/>
              <w:highlight w:val="none"/>
            </w:rPr>
            <w:t>）</w:t>
          </w:r>
          <w:r>
            <w:rPr>
              <w:rFonts w:hint="eastAsia" w:ascii="宋体" w:hAnsi="宋体" w:eastAsia="宋体" w:cs="宋体"/>
              <w:sz w:val="24"/>
              <w:highlight w:val="none"/>
              <w:lang w:val="en-US" w:eastAsia="zh-CN"/>
            </w:rPr>
            <w:t>设备情况</w:t>
          </w:r>
          <w:r>
            <w:rPr>
              <w:rFonts w:hint="eastAsia" w:ascii="宋体" w:hAnsi="宋体" w:eastAsia="宋体" w:cs="宋体"/>
              <w:sz w:val="24"/>
              <w:highlight w:val="none"/>
            </w:rPr>
            <w:tab/>
          </w:r>
          <w:r>
            <w:rPr>
              <w:rFonts w:hint="eastAsia" w:ascii="宋体" w:hAnsi="宋体" w:eastAsia="宋体" w:cs="宋体"/>
              <w:sz w:val="24"/>
              <w:highlight w:val="none"/>
            </w:rPr>
            <w:fldChar w:fldCharType="begin"/>
          </w:r>
          <w:r>
            <w:rPr>
              <w:rFonts w:hint="eastAsia" w:ascii="宋体" w:hAnsi="宋体" w:eastAsia="宋体" w:cs="宋体"/>
              <w:sz w:val="24"/>
              <w:highlight w:val="none"/>
            </w:rPr>
            <w:instrText xml:space="preserve"> PAGEREF _Toc7204 \h </w:instrText>
          </w:r>
          <w:r>
            <w:rPr>
              <w:rFonts w:hint="eastAsia" w:ascii="宋体" w:hAnsi="宋体" w:eastAsia="宋体" w:cs="宋体"/>
              <w:sz w:val="24"/>
              <w:highlight w:val="none"/>
            </w:rPr>
            <w:fldChar w:fldCharType="separate"/>
          </w:r>
          <w:r>
            <w:rPr>
              <w:rFonts w:hint="eastAsia" w:ascii="宋体" w:hAnsi="宋体" w:eastAsia="宋体" w:cs="宋体"/>
              <w:sz w:val="24"/>
              <w:highlight w:val="none"/>
            </w:rPr>
            <w:t xml:space="preserve">- </w:t>
          </w:r>
          <w:r>
            <w:rPr>
              <w:rFonts w:hint="eastAsia" w:ascii="宋体" w:hAnsi="宋体" w:eastAsia="宋体" w:cs="宋体"/>
              <w:sz w:val="24"/>
              <w:highlight w:val="none"/>
              <w:lang w:val="en-US" w:eastAsia="zh-CN"/>
            </w:rPr>
            <w:t>3</w:t>
          </w:r>
          <w:r>
            <w:rPr>
              <w:rFonts w:hint="eastAsia" w:ascii="宋体" w:hAnsi="宋体" w:eastAsia="宋体" w:cs="宋体"/>
              <w:sz w:val="24"/>
              <w:highlight w:val="none"/>
            </w:rPr>
            <w:t xml:space="preserve"> -</w:t>
          </w:r>
          <w:r>
            <w:rPr>
              <w:rFonts w:hint="eastAsia" w:ascii="宋体" w:hAnsi="宋体" w:eastAsia="宋体" w:cs="宋体"/>
              <w:sz w:val="24"/>
              <w:highlight w:val="none"/>
            </w:rPr>
            <w:fldChar w:fldCharType="end"/>
          </w:r>
          <w:r>
            <w:rPr>
              <w:rFonts w:hint="eastAsia" w:ascii="宋体" w:hAnsi="宋体" w:eastAsia="宋体" w:cs="宋体"/>
              <w:sz w:val="24"/>
              <w:highlight w:val="none"/>
            </w:rPr>
            <w:fldChar w:fldCharType="end"/>
          </w:r>
        </w:p>
        <w:p w14:paraId="494D60A7">
          <w:pPr>
            <w:pStyle w:val="7"/>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rPr>
              <w:rFonts w:ascii="宋体" w:hAnsi="宋体" w:eastAsia="宋体" w:cs="宋体"/>
              <w:sz w:val="24"/>
              <w:highlight w:val="none"/>
            </w:rPr>
          </w:pPr>
          <w:r>
            <w:rPr>
              <w:highlight w:val="none"/>
            </w:rPr>
            <w:fldChar w:fldCharType="begin"/>
          </w:r>
          <w:r>
            <w:rPr>
              <w:highlight w:val="none"/>
            </w:rPr>
            <w:instrText xml:space="preserve"> HYPERLINK \l "_Toc12548" </w:instrText>
          </w:r>
          <w:r>
            <w:rPr>
              <w:highlight w:val="none"/>
            </w:rPr>
            <w:fldChar w:fldCharType="separate"/>
          </w:r>
          <w:r>
            <w:rPr>
              <w:rFonts w:hint="eastAsia" w:ascii="宋体" w:hAnsi="宋体" w:eastAsia="宋体" w:cs="宋体"/>
              <w:sz w:val="24"/>
              <w:highlight w:val="none"/>
            </w:rPr>
            <w:t>（</w:t>
          </w:r>
          <w:r>
            <w:rPr>
              <w:rFonts w:hint="eastAsia" w:ascii="宋体" w:hAnsi="宋体" w:eastAsia="宋体" w:cs="宋体"/>
              <w:sz w:val="24"/>
              <w:highlight w:val="none"/>
              <w:lang w:val="en-US" w:eastAsia="zh-CN"/>
            </w:rPr>
            <w:t>五</w:t>
          </w:r>
          <w:r>
            <w:rPr>
              <w:rFonts w:hint="eastAsia" w:ascii="宋体" w:hAnsi="宋体" w:eastAsia="宋体" w:cs="宋体"/>
              <w:sz w:val="24"/>
              <w:highlight w:val="none"/>
            </w:rPr>
            <w:t>）事故现场情况</w:t>
          </w:r>
          <w:r>
            <w:rPr>
              <w:rFonts w:hint="eastAsia" w:ascii="宋体" w:hAnsi="宋体" w:eastAsia="宋体" w:cs="宋体"/>
              <w:sz w:val="24"/>
              <w:highlight w:val="none"/>
            </w:rPr>
            <w:tab/>
          </w:r>
          <w:r>
            <w:rPr>
              <w:rFonts w:hint="eastAsia" w:ascii="宋体" w:hAnsi="宋体" w:eastAsia="宋体" w:cs="宋体"/>
              <w:sz w:val="24"/>
              <w:highlight w:val="none"/>
            </w:rPr>
            <w:fldChar w:fldCharType="begin"/>
          </w:r>
          <w:r>
            <w:rPr>
              <w:rFonts w:hint="eastAsia" w:ascii="宋体" w:hAnsi="宋体" w:eastAsia="宋体" w:cs="宋体"/>
              <w:sz w:val="24"/>
              <w:highlight w:val="none"/>
            </w:rPr>
            <w:instrText xml:space="preserve"> PAGEREF _Toc12548 \h </w:instrText>
          </w:r>
          <w:r>
            <w:rPr>
              <w:rFonts w:hint="eastAsia" w:ascii="宋体" w:hAnsi="宋体" w:eastAsia="宋体" w:cs="宋体"/>
              <w:sz w:val="24"/>
              <w:highlight w:val="none"/>
            </w:rPr>
            <w:fldChar w:fldCharType="separate"/>
          </w:r>
          <w:r>
            <w:rPr>
              <w:rFonts w:hint="eastAsia" w:ascii="宋体" w:hAnsi="宋体" w:eastAsia="宋体" w:cs="宋体"/>
              <w:sz w:val="24"/>
              <w:highlight w:val="none"/>
            </w:rPr>
            <w:t>- 3 -</w:t>
          </w:r>
          <w:r>
            <w:rPr>
              <w:rFonts w:hint="eastAsia" w:ascii="宋体" w:hAnsi="宋体" w:eastAsia="宋体" w:cs="宋体"/>
              <w:sz w:val="24"/>
              <w:highlight w:val="none"/>
            </w:rPr>
            <w:fldChar w:fldCharType="end"/>
          </w:r>
          <w:r>
            <w:rPr>
              <w:rFonts w:hint="eastAsia" w:ascii="宋体" w:hAnsi="宋体" w:eastAsia="宋体" w:cs="宋体"/>
              <w:sz w:val="24"/>
              <w:highlight w:val="none"/>
            </w:rPr>
            <w:fldChar w:fldCharType="end"/>
          </w:r>
        </w:p>
        <w:p w14:paraId="5386D6EA">
          <w:pPr>
            <w:pStyle w:val="7"/>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rPr>
              <w:highlight w:val="none"/>
            </w:rPr>
          </w:pPr>
          <w:r>
            <w:rPr>
              <w:highlight w:val="none"/>
            </w:rPr>
            <w:fldChar w:fldCharType="begin"/>
          </w:r>
          <w:r>
            <w:rPr>
              <w:highlight w:val="none"/>
            </w:rPr>
            <w:instrText xml:space="preserve"> HYPERLINK \l "_Toc32319" </w:instrText>
          </w:r>
          <w:r>
            <w:rPr>
              <w:highlight w:val="none"/>
            </w:rPr>
            <w:fldChar w:fldCharType="separate"/>
          </w:r>
          <w:r>
            <w:rPr>
              <w:rFonts w:hint="eastAsia" w:ascii="宋体" w:hAnsi="宋体" w:eastAsia="宋体" w:cs="宋体"/>
              <w:sz w:val="24"/>
              <w:highlight w:val="none"/>
            </w:rPr>
            <w:t>（</w:t>
          </w:r>
          <w:r>
            <w:rPr>
              <w:rFonts w:hint="eastAsia" w:ascii="宋体" w:hAnsi="宋体" w:eastAsia="宋体" w:cs="宋体"/>
              <w:sz w:val="24"/>
              <w:highlight w:val="none"/>
              <w:lang w:val="en-US" w:eastAsia="zh-CN"/>
            </w:rPr>
            <w:t>六</w:t>
          </w:r>
          <w:r>
            <w:rPr>
              <w:rFonts w:hint="eastAsia" w:ascii="宋体" w:hAnsi="宋体" w:eastAsia="宋体" w:cs="宋体"/>
              <w:sz w:val="24"/>
              <w:highlight w:val="none"/>
            </w:rPr>
            <w:t>）人员伤亡和直接经济损失情况</w:t>
          </w:r>
          <w:r>
            <w:rPr>
              <w:rFonts w:hint="eastAsia" w:ascii="宋体" w:hAnsi="宋体" w:eastAsia="宋体" w:cs="宋体"/>
              <w:sz w:val="24"/>
              <w:highlight w:val="none"/>
            </w:rPr>
            <w:tab/>
          </w:r>
          <w:r>
            <w:rPr>
              <w:rFonts w:hint="eastAsia" w:ascii="宋体" w:hAnsi="宋体" w:eastAsia="宋体" w:cs="宋体"/>
              <w:sz w:val="24"/>
              <w:highlight w:val="none"/>
            </w:rPr>
            <w:fldChar w:fldCharType="begin"/>
          </w:r>
          <w:r>
            <w:rPr>
              <w:rFonts w:hint="eastAsia" w:ascii="宋体" w:hAnsi="宋体" w:eastAsia="宋体" w:cs="宋体"/>
              <w:sz w:val="24"/>
              <w:highlight w:val="none"/>
            </w:rPr>
            <w:instrText xml:space="preserve"> PAGEREF _Toc32319 \h </w:instrText>
          </w:r>
          <w:r>
            <w:rPr>
              <w:rFonts w:hint="eastAsia" w:ascii="宋体" w:hAnsi="宋体" w:eastAsia="宋体" w:cs="宋体"/>
              <w:sz w:val="24"/>
              <w:highlight w:val="none"/>
            </w:rPr>
            <w:fldChar w:fldCharType="separate"/>
          </w:r>
          <w:r>
            <w:rPr>
              <w:rFonts w:hint="eastAsia" w:ascii="宋体" w:hAnsi="宋体" w:eastAsia="宋体" w:cs="宋体"/>
              <w:sz w:val="24"/>
              <w:highlight w:val="none"/>
            </w:rPr>
            <w:t xml:space="preserve">- </w:t>
          </w:r>
          <w:r>
            <w:rPr>
              <w:rFonts w:hint="eastAsia" w:ascii="宋体" w:hAnsi="宋体" w:eastAsia="宋体" w:cs="宋体"/>
              <w:sz w:val="24"/>
              <w:highlight w:val="none"/>
              <w:lang w:val="en-US" w:eastAsia="zh-CN"/>
            </w:rPr>
            <w:t>5</w:t>
          </w:r>
          <w:r>
            <w:rPr>
              <w:rFonts w:hint="eastAsia" w:ascii="宋体" w:hAnsi="宋体" w:eastAsia="宋体" w:cs="宋体"/>
              <w:sz w:val="24"/>
              <w:highlight w:val="none"/>
            </w:rPr>
            <w:t xml:space="preserve"> -</w:t>
          </w:r>
          <w:r>
            <w:rPr>
              <w:rFonts w:hint="eastAsia" w:ascii="宋体" w:hAnsi="宋体" w:eastAsia="宋体" w:cs="宋体"/>
              <w:sz w:val="24"/>
              <w:highlight w:val="none"/>
            </w:rPr>
            <w:fldChar w:fldCharType="end"/>
          </w:r>
          <w:r>
            <w:rPr>
              <w:rFonts w:hint="eastAsia" w:ascii="宋体" w:hAnsi="宋体" w:eastAsia="宋体" w:cs="宋体"/>
              <w:sz w:val="24"/>
              <w:highlight w:val="none"/>
            </w:rPr>
            <w:fldChar w:fldCharType="end"/>
          </w:r>
        </w:p>
        <w:p w14:paraId="6BF751E2">
          <w:pPr>
            <w:pStyle w:val="5"/>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rPr>
              <w:rFonts w:ascii="黑体" w:hAnsi="黑体" w:eastAsia="黑体" w:cs="黑体"/>
              <w:sz w:val="24"/>
              <w:highlight w:val="none"/>
            </w:rPr>
          </w:pPr>
          <w:r>
            <w:rPr>
              <w:highlight w:val="none"/>
            </w:rPr>
            <w:fldChar w:fldCharType="begin"/>
          </w:r>
          <w:r>
            <w:rPr>
              <w:highlight w:val="none"/>
            </w:rPr>
            <w:instrText xml:space="preserve"> HYPERLINK \l "_Toc155" </w:instrText>
          </w:r>
          <w:r>
            <w:rPr>
              <w:highlight w:val="none"/>
            </w:rPr>
            <w:fldChar w:fldCharType="separate"/>
          </w:r>
          <w:r>
            <w:rPr>
              <w:rFonts w:hint="eastAsia" w:ascii="黑体" w:hAnsi="黑体" w:eastAsia="黑体" w:cs="黑体"/>
              <w:sz w:val="24"/>
              <w:highlight w:val="none"/>
            </w:rPr>
            <w:t>二、 事故应急处置及评估情况</w:t>
          </w:r>
          <w:r>
            <w:rPr>
              <w:rFonts w:hint="eastAsia" w:ascii="黑体" w:hAnsi="黑体" w:eastAsia="黑体" w:cs="黑体"/>
              <w:sz w:val="24"/>
              <w:highlight w:val="none"/>
            </w:rPr>
            <w:tab/>
          </w:r>
          <w:r>
            <w:rPr>
              <w:rFonts w:hint="eastAsia" w:ascii="宋体" w:hAnsi="宋体" w:eastAsia="宋体" w:cs="宋体"/>
              <w:sz w:val="24"/>
              <w:highlight w:val="none"/>
            </w:rPr>
            <w:fldChar w:fldCharType="begin"/>
          </w:r>
          <w:r>
            <w:rPr>
              <w:rFonts w:hint="eastAsia" w:ascii="宋体" w:hAnsi="宋体" w:eastAsia="宋体" w:cs="宋体"/>
              <w:sz w:val="24"/>
              <w:highlight w:val="none"/>
            </w:rPr>
            <w:instrText xml:space="preserve"> PAGEREF _Toc155 \h </w:instrText>
          </w:r>
          <w:r>
            <w:rPr>
              <w:rFonts w:hint="eastAsia" w:ascii="宋体" w:hAnsi="宋体" w:eastAsia="宋体" w:cs="宋体"/>
              <w:sz w:val="24"/>
              <w:highlight w:val="none"/>
            </w:rPr>
            <w:fldChar w:fldCharType="separate"/>
          </w:r>
          <w:r>
            <w:rPr>
              <w:rFonts w:hint="eastAsia" w:ascii="宋体" w:hAnsi="宋体" w:eastAsia="宋体" w:cs="宋体"/>
              <w:sz w:val="24"/>
              <w:highlight w:val="none"/>
            </w:rPr>
            <w:t xml:space="preserve">- </w:t>
          </w:r>
          <w:r>
            <w:rPr>
              <w:rFonts w:hint="eastAsia" w:ascii="宋体" w:hAnsi="宋体" w:eastAsia="宋体" w:cs="宋体"/>
              <w:sz w:val="24"/>
              <w:highlight w:val="none"/>
              <w:lang w:val="en-US" w:eastAsia="zh-CN"/>
            </w:rPr>
            <w:t>6</w:t>
          </w:r>
          <w:r>
            <w:rPr>
              <w:rFonts w:hint="eastAsia" w:ascii="宋体" w:hAnsi="宋体" w:eastAsia="宋体" w:cs="宋体"/>
              <w:sz w:val="24"/>
              <w:highlight w:val="none"/>
            </w:rPr>
            <w:t xml:space="preserve"> -</w:t>
          </w:r>
          <w:r>
            <w:rPr>
              <w:rFonts w:hint="eastAsia" w:ascii="宋体" w:hAnsi="宋体" w:eastAsia="宋体" w:cs="宋体"/>
              <w:sz w:val="24"/>
              <w:highlight w:val="none"/>
            </w:rPr>
            <w:fldChar w:fldCharType="end"/>
          </w:r>
          <w:r>
            <w:rPr>
              <w:rFonts w:hint="eastAsia" w:ascii="宋体" w:hAnsi="宋体" w:eastAsia="宋体" w:cs="宋体"/>
              <w:sz w:val="24"/>
              <w:highlight w:val="none"/>
            </w:rPr>
            <w:fldChar w:fldCharType="end"/>
          </w:r>
        </w:p>
        <w:p w14:paraId="70C38AB2">
          <w:pPr>
            <w:pStyle w:val="7"/>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rPr>
              <w:rFonts w:hint="eastAsia" w:ascii="宋体" w:hAnsi="宋体" w:eastAsia="宋体" w:cs="宋体"/>
              <w:sz w:val="24"/>
              <w:highlight w:val="none"/>
              <w:lang w:eastAsia="zh-CN"/>
            </w:rPr>
          </w:pPr>
          <w:r>
            <w:rPr>
              <w:highlight w:val="none"/>
            </w:rPr>
            <w:fldChar w:fldCharType="begin"/>
          </w:r>
          <w:r>
            <w:rPr>
              <w:highlight w:val="none"/>
            </w:rPr>
            <w:instrText xml:space="preserve"> HYPERLINK \l "_Toc9427" </w:instrText>
          </w:r>
          <w:r>
            <w:rPr>
              <w:highlight w:val="none"/>
            </w:rPr>
            <w:fldChar w:fldCharType="separate"/>
          </w:r>
          <w:r>
            <w:rPr>
              <w:rFonts w:hint="eastAsia" w:ascii="宋体" w:hAnsi="宋体" w:eastAsia="宋体" w:cs="宋体"/>
              <w:sz w:val="24"/>
              <w:highlight w:val="none"/>
            </w:rPr>
            <w:t>（一）事故现场应急处置情况</w:t>
          </w:r>
          <w:r>
            <w:rPr>
              <w:rFonts w:hint="eastAsia" w:ascii="宋体" w:hAnsi="宋体" w:eastAsia="宋体" w:cs="宋体"/>
              <w:sz w:val="24"/>
              <w:highlight w:val="none"/>
            </w:rPr>
            <w:tab/>
          </w:r>
          <w:r>
            <w:rPr>
              <w:rFonts w:hint="eastAsia" w:ascii="宋体" w:hAnsi="宋体" w:eastAsia="宋体" w:cs="宋体"/>
              <w:sz w:val="24"/>
              <w:highlight w:val="none"/>
            </w:rPr>
            <w:fldChar w:fldCharType="end"/>
          </w:r>
          <w:r>
            <w:rPr>
              <w:rFonts w:hint="eastAsia" w:ascii="宋体" w:hAnsi="宋体" w:eastAsia="宋体" w:cs="宋体"/>
              <w:sz w:val="24"/>
              <w:highlight w:val="none"/>
            </w:rPr>
            <w:fldChar w:fldCharType="begin"/>
          </w:r>
          <w:r>
            <w:rPr>
              <w:rFonts w:hint="eastAsia" w:ascii="宋体" w:hAnsi="宋体" w:eastAsia="宋体" w:cs="宋体"/>
              <w:sz w:val="24"/>
              <w:highlight w:val="none"/>
            </w:rPr>
            <w:instrText xml:space="preserve"> PAGEREF _Toc155 \h </w:instrText>
          </w:r>
          <w:r>
            <w:rPr>
              <w:rFonts w:hint="eastAsia" w:ascii="宋体" w:hAnsi="宋体" w:eastAsia="宋体" w:cs="宋体"/>
              <w:sz w:val="24"/>
              <w:highlight w:val="none"/>
            </w:rPr>
            <w:fldChar w:fldCharType="separate"/>
          </w:r>
          <w:r>
            <w:rPr>
              <w:rFonts w:hint="eastAsia" w:ascii="宋体" w:hAnsi="宋体" w:eastAsia="宋体" w:cs="宋体"/>
              <w:sz w:val="24"/>
              <w:highlight w:val="none"/>
            </w:rPr>
            <w:t xml:space="preserve">- </w:t>
          </w:r>
          <w:r>
            <w:rPr>
              <w:rFonts w:hint="eastAsia" w:ascii="宋体" w:hAnsi="宋体" w:eastAsia="宋体" w:cs="宋体"/>
              <w:sz w:val="24"/>
              <w:highlight w:val="none"/>
              <w:lang w:val="en-US" w:eastAsia="zh-CN"/>
            </w:rPr>
            <w:t>6</w:t>
          </w:r>
          <w:r>
            <w:rPr>
              <w:rFonts w:hint="eastAsia" w:ascii="宋体" w:hAnsi="宋体" w:eastAsia="宋体" w:cs="宋体"/>
              <w:sz w:val="24"/>
              <w:highlight w:val="none"/>
            </w:rPr>
            <w:t xml:space="preserve"> -</w:t>
          </w:r>
          <w:r>
            <w:rPr>
              <w:rFonts w:hint="eastAsia" w:ascii="宋体" w:hAnsi="宋体" w:eastAsia="宋体" w:cs="宋体"/>
              <w:sz w:val="24"/>
              <w:highlight w:val="none"/>
            </w:rPr>
            <w:fldChar w:fldCharType="end"/>
          </w:r>
        </w:p>
        <w:p w14:paraId="6EA26740">
          <w:pPr>
            <w:pStyle w:val="7"/>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rPr>
              <w:rFonts w:ascii="宋体" w:hAnsi="宋体" w:eastAsia="宋体" w:cs="宋体"/>
              <w:sz w:val="24"/>
              <w:highlight w:val="none"/>
            </w:rPr>
          </w:pPr>
          <w:r>
            <w:rPr>
              <w:highlight w:val="none"/>
            </w:rPr>
            <w:fldChar w:fldCharType="begin"/>
          </w:r>
          <w:r>
            <w:rPr>
              <w:highlight w:val="none"/>
            </w:rPr>
            <w:instrText xml:space="preserve"> HYPERLINK \l "_Toc10796" </w:instrText>
          </w:r>
          <w:r>
            <w:rPr>
              <w:highlight w:val="none"/>
            </w:rPr>
            <w:fldChar w:fldCharType="separate"/>
          </w:r>
          <w:r>
            <w:rPr>
              <w:rFonts w:hint="eastAsia" w:ascii="宋体" w:hAnsi="宋体" w:eastAsia="宋体" w:cs="宋体"/>
              <w:sz w:val="24"/>
              <w:highlight w:val="none"/>
            </w:rPr>
            <w:t>（二）医疗救治和善后情况</w:t>
          </w:r>
          <w:r>
            <w:rPr>
              <w:rFonts w:hint="eastAsia" w:ascii="宋体" w:hAnsi="宋体" w:eastAsia="宋体" w:cs="宋体"/>
              <w:sz w:val="24"/>
              <w:highlight w:val="none"/>
            </w:rPr>
            <w:tab/>
          </w:r>
          <w:r>
            <w:rPr>
              <w:rFonts w:hint="eastAsia" w:ascii="宋体" w:hAnsi="宋体" w:eastAsia="宋体" w:cs="宋体"/>
              <w:sz w:val="24"/>
              <w:highlight w:val="none"/>
            </w:rPr>
            <w:fldChar w:fldCharType="begin"/>
          </w:r>
          <w:r>
            <w:rPr>
              <w:rFonts w:hint="eastAsia" w:ascii="宋体" w:hAnsi="宋体" w:eastAsia="宋体" w:cs="宋体"/>
              <w:sz w:val="24"/>
              <w:highlight w:val="none"/>
            </w:rPr>
            <w:instrText xml:space="preserve"> PAGEREF _Toc10796 \h </w:instrText>
          </w:r>
          <w:r>
            <w:rPr>
              <w:rFonts w:hint="eastAsia" w:ascii="宋体" w:hAnsi="宋体" w:eastAsia="宋体" w:cs="宋体"/>
              <w:sz w:val="24"/>
              <w:highlight w:val="none"/>
            </w:rPr>
            <w:fldChar w:fldCharType="separate"/>
          </w:r>
          <w:r>
            <w:rPr>
              <w:rFonts w:hint="eastAsia" w:ascii="宋体" w:hAnsi="宋体" w:eastAsia="宋体" w:cs="宋体"/>
              <w:sz w:val="24"/>
              <w:highlight w:val="none"/>
            </w:rPr>
            <w:t>- 6 -</w:t>
          </w:r>
          <w:r>
            <w:rPr>
              <w:rFonts w:hint="eastAsia" w:ascii="宋体" w:hAnsi="宋体" w:eastAsia="宋体" w:cs="宋体"/>
              <w:sz w:val="24"/>
              <w:highlight w:val="none"/>
            </w:rPr>
            <w:fldChar w:fldCharType="end"/>
          </w:r>
          <w:r>
            <w:rPr>
              <w:rFonts w:hint="eastAsia" w:ascii="宋体" w:hAnsi="宋体" w:eastAsia="宋体" w:cs="宋体"/>
              <w:sz w:val="24"/>
              <w:highlight w:val="none"/>
            </w:rPr>
            <w:fldChar w:fldCharType="end"/>
          </w:r>
        </w:p>
        <w:p w14:paraId="0A1F8A94">
          <w:pPr>
            <w:pStyle w:val="5"/>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rPr>
              <w:rFonts w:ascii="黑体" w:hAnsi="黑体" w:eastAsia="黑体" w:cs="黑体"/>
              <w:sz w:val="24"/>
              <w:highlight w:val="none"/>
            </w:rPr>
          </w:pPr>
          <w:r>
            <w:rPr>
              <w:highlight w:val="none"/>
            </w:rPr>
            <w:fldChar w:fldCharType="begin"/>
          </w:r>
          <w:r>
            <w:rPr>
              <w:highlight w:val="none"/>
            </w:rPr>
            <w:instrText xml:space="preserve"> HYPERLINK \l "_Toc27627" </w:instrText>
          </w:r>
          <w:r>
            <w:rPr>
              <w:highlight w:val="none"/>
            </w:rPr>
            <w:fldChar w:fldCharType="separate"/>
          </w:r>
          <w:r>
            <w:rPr>
              <w:rFonts w:hint="eastAsia" w:ascii="黑体" w:hAnsi="黑体" w:eastAsia="黑体" w:cs="黑体"/>
              <w:sz w:val="24"/>
              <w:highlight w:val="none"/>
            </w:rPr>
            <w:t>三、 事故原因分析</w:t>
          </w:r>
          <w:r>
            <w:rPr>
              <w:rFonts w:hint="eastAsia" w:ascii="黑体" w:hAnsi="黑体" w:eastAsia="黑体" w:cs="黑体"/>
              <w:sz w:val="24"/>
              <w:highlight w:val="none"/>
            </w:rPr>
            <w:tab/>
          </w:r>
          <w:r>
            <w:rPr>
              <w:rFonts w:hint="eastAsia" w:ascii="宋体" w:hAnsi="宋体" w:eastAsia="宋体" w:cs="宋体"/>
              <w:sz w:val="24"/>
              <w:highlight w:val="none"/>
            </w:rPr>
            <w:fldChar w:fldCharType="begin"/>
          </w:r>
          <w:r>
            <w:rPr>
              <w:rFonts w:hint="eastAsia" w:ascii="宋体" w:hAnsi="宋体" w:eastAsia="宋体" w:cs="宋体"/>
              <w:sz w:val="24"/>
              <w:highlight w:val="none"/>
            </w:rPr>
            <w:instrText xml:space="preserve"> PAGEREF _Toc27627 \h </w:instrText>
          </w:r>
          <w:r>
            <w:rPr>
              <w:rFonts w:hint="eastAsia" w:ascii="宋体" w:hAnsi="宋体" w:eastAsia="宋体" w:cs="宋体"/>
              <w:sz w:val="24"/>
              <w:highlight w:val="none"/>
            </w:rPr>
            <w:fldChar w:fldCharType="separate"/>
          </w:r>
          <w:r>
            <w:rPr>
              <w:rFonts w:hint="eastAsia" w:ascii="宋体" w:hAnsi="宋体" w:eastAsia="宋体" w:cs="宋体"/>
              <w:sz w:val="24"/>
              <w:highlight w:val="none"/>
            </w:rPr>
            <w:t>- 6 -</w:t>
          </w:r>
          <w:r>
            <w:rPr>
              <w:rFonts w:hint="eastAsia" w:ascii="宋体" w:hAnsi="宋体" w:eastAsia="宋体" w:cs="宋体"/>
              <w:sz w:val="24"/>
              <w:highlight w:val="none"/>
            </w:rPr>
            <w:fldChar w:fldCharType="end"/>
          </w:r>
          <w:r>
            <w:rPr>
              <w:rFonts w:hint="eastAsia" w:ascii="宋体" w:hAnsi="宋体" w:eastAsia="宋体" w:cs="宋体"/>
              <w:sz w:val="24"/>
              <w:highlight w:val="none"/>
            </w:rPr>
            <w:fldChar w:fldCharType="end"/>
          </w:r>
        </w:p>
        <w:p w14:paraId="763B5BAA">
          <w:pPr>
            <w:pStyle w:val="5"/>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rPr>
              <w:rFonts w:ascii="黑体" w:hAnsi="黑体" w:eastAsia="黑体" w:cs="黑体"/>
              <w:sz w:val="24"/>
              <w:highlight w:val="none"/>
            </w:rPr>
          </w:pPr>
          <w:r>
            <w:rPr>
              <w:highlight w:val="none"/>
            </w:rPr>
            <w:fldChar w:fldCharType="begin"/>
          </w:r>
          <w:r>
            <w:rPr>
              <w:highlight w:val="none"/>
            </w:rPr>
            <w:instrText xml:space="preserve"> HYPERLINK \l "_Toc19416" </w:instrText>
          </w:r>
          <w:r>
            <w:rPr>
              <w:highlight w:val="none"/>
            </w:rPr>
            <w:fldChar w:fldCharType="separate"/>
          </w:r>
          <w:r>
            <w:rPr>
              <w:rFonts w:hint="eastAsia" w:ascii="黑体" w:hAnsi="黑体" w:eastAsia="黑体" w:cs="黑体"/>
              <w:sz w:val="24"/>
              <w:highlight w:val="none"/>
            </w:rPr>
            <w:t>四、 监管履职情况</w:t>
          </w:r>
          <w:r>
            <w:rPr>
              <w:rFonts w:hint="eastAsia" w:ascii="黑体" w:hAnsi="黑体" w:eastAsia="黑体" w:cs="黑体"/>
              <w:sz w:val="24"/>
              <w:highlight w:val="none"/>
            </w:rPr>
            <w:tab/>
          </w:r>
          <w:r>
            <w:rPr>
              <w:rFonts w:hint="eastAsia" w:ascii="宋体" w:hAnsi="宋体" w:eastAsia="宋体" w:cs="宋体"/>
              <w:sz w:val="24"/>
              <w:highlight w:val="none"/>
            </w:rPr>
            <w:fldChar w:fldCharType="begin"/>
          </w:r>
          <w:r>
            <w:rPr>
              <w:rFonts w:hint="eastAsia" w:ascii="宋体" w:hAnsi="宋体" w:eastAsia="宋体" w:cs="宋体"/>
              <w:sz w:val="24"/>
              <w:highlight w:val="none"/>
            </w:rPr>
            <w:instrText xml:space="preserve"> PAGEREF _Toc9060 \h </w:instrText>
          </w:r>
          <w:r>
            <w:rPr>
              <w:rFonts w:hint="eastAsia" w:ascii="宋体" w:hAnsi="宋体" w:eastAsia="宋体" w:cs="宋体"/>
              <w:sz w:val="24"/>
              <w:highlight w:val="none"/>
            </w:rPr>
            <w:fldChar w:fldCharType="separate"/>
          </w:r>
          <w:r>
            <w:rPr>
              <w:rFonts w:hint="eastAsia" w:ascii="宋体" w:hAnsi="宋体" w:eastAsia="宋体" w:cs="宋体"/>
              <w:sz w:val="24"/>
              <w:highlight w:val="none"/>
            </w:rPr>
            <w:t>- 7 -</w:t>
          </w:r>
          <w:r>
            <w:rPr>
              <w:rFonts w:hint="eastAsia" w:ascii="宋体" w:hAnsi="宋体" w:eastAsia="宋体" w:cs="宋体"/>
              <w:sz w:val="24"/>
              <w:highlight w:val="none"/>
            </w:rPr>
            <w:fldChar w:fldCharType="end"/>
          </w:r>
          <w:r>
            <w:rPr>
              <w:rFonts w:hint="eastAsia" w:ascii="宋体" w:hAnsi="宋体" w:eastAsia="宋体" w:cs="宋体"/>
              <w:sz w:val="24"/>
              <w:highlight w:val="none"/>
            </w:rPr>
            <w:fldChar w:fldCharType="end"/>
          </w:r>
        </w:p>
        <w:p w14:paraId="1531EF81">
          <w:pPr>
            <w:pStyle w:val="5"/>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rPr>
              <w:rFonts w:ascii="宋体" w:hAnsi="宋体" w:eastAsia="宋体" w:cs="宋体"/>
              <w:highlight w:val="none"/>
            </w:rPr>
          </w:pPr>
          <w:r>
            <w:rPr>
              <w:highlight w:val="none"/>
            </w:rPr>
            <w:fldChar w:fldCharType="begin"/>
          </w:r>
          <w:r>
            <w:rPr>
              <w:highlight w:val="none"/>
            </w:rPr>
            <w:instrText xml:space="preserve"> HYPERLINK \l "_Toc26434" </w:instrText>
          </w:r>
          <w:r>
            <w:rPr>
              <w:highlight w:val="none"/>
            </w:rPr>
            <w:fldChar w:fldCharType="separate"/>
          </w:r>
          <w:r>
            <w:rPr>
              <w:rFonts w:hint="eastAsia" w:ascii="黑体" w:hAnsi="黑体" w:eastAsia="黑体" w:cs="黑体"/>
              <w:sz w:val="24"/>
              <w:highlight w:val="none"/>
            </w:rPr>
            <w:t>五、 对有关责任人员和责任单位的处理建议</w:t>
          </w:r>
          <w:r>
            <w:rPr>
              <w:rFonts w:hint="eastAsia" w:ascii="黑体" w:hAnsi="黑体" w:eastAsia="黑体" w:cs="黑体"/>
              <w:sz w:val="24"/>
              <w:highlight w:val="none"/>
            </w:rPr>
            <w:tab/>
          </w:r>
          <w:r>
            <w:rPr>
              <w:rFonts w:hint="eastAsia" w:ascii="宋体" w:hAnsi="宋体" w:eastAsia="宋体" w:cs="宋体"/>
              <w:sz w:val="24"/>
              <w:highlight w:val="none"/>
            </w:rPr>
            <w:fldChar w:fldCharType="begin"/>
          </w:r>
          <w:r>
            <w:rPr>
              <w:rFonts w:hint="eastAsia" w:ascii="宋体" w:hAnsi="宋体" w:eastAsia="宋体" w:cs="宋体"/>
              <w:sz w:val="24"/>
              <w:highlight w:val="none"/>
            </w:rPr>
            <w:instrText xml:space="preserve"> PAGEREF _Toc9060 \h </w:instrText>
          </w:r>
          <w:r>
            <w:rPr>
              <w:rFonts w:hint="eastAsia" w:ascii="宋体" w:hAnsi="宋体" w:eastAsia="宋体" w:cs="宋体"/>
              <w:sz w:val="24"/>
              <w:highlight w:val="none"/>
            </w:rPr>
            <w:fldChar w:fldCharType="separate"/>
          </w:r>
          <w:r>
            <w:rPr>
              <w:rFonts w:hint="eastAsia" w:ascii="宋体" w:hAnsi="宋体" w:eastAsia="宋体" w:cs="宋体"/>
              <w:sz w:val="24"/>
              <w:highlight w:val="none"/>
            </w:rPr>
            <w:t>- 7 -</w:t>
          </w:r>
          <w:r>
            <w:rPr>
              <w:rFonts w:hint="eastAsia" w:ascii="宋体" w:hAnsi="宋体" w:eastAsia="宋体" w:cs="宋体"/>
              <w:sz w:val="24"/>
              <w:highlight w:val="none"/>
            </w:rPr>
            <w:fldChar w:fldCharType="end"/>
          </w:r>
          <w:r>
            <w:rPr>
              <w:rFonts w:hint="eastAsia" w:ascii="宋体" w:hAnsi="宋体" w:eastAsia="宋体" w:cs="宋体"/>
              <w:sz w:val="24"/>
              <w:highlight w:val="none"/>
            </w:rPr>
            <w:fldChar w:fldCharType="end"/>
          </w:r>
        </w:p>
        <w:p w14:paraId="660A8835">
          <w:pPr>
            <w:pStyle w:val="5"/>
            <w:keepNext w:val="0"/>
            <w:keepLines w:val="0"/>
            <w:pageBreakBefore w:val="0"/>
            <w:widowControl w:val="0"/>
            <w:tabs>
              <w:tab w:val="right" w:leader="dot" w:pos="8845"/>
            </w:tabs>
            <w:kinsoku/>
            <w:wordWrap/>
            <w:overflowPunct/>
            <w:topLinePunct w:val="0"/>
            <w:autoSpaceDE/>
            <w:autoSpaceDN/>
            <w:bidi w:val="0"/>
            <w:adjustRightInd/>
            <w:snapToGrid/>
            <w:spacing w:line="360" w:lineRule="auto"/>
            <w:ind w:firstLine="420" w:firstLineChars="200"/>
            <w:textAlignment w:val="auto"/>
            <w:rPr>
              <w:rFonts w:ascii="宋体" w:hAnsi="宋体" w:eastAsia="宋体" w:cs="宋体"/>
              <w:sz w:val="24"/>
              <w:highlight w:val="none"/>
            </w:rPr>
          </w:pPr>
          <w:r>
            <w:rPr>
              <w:highlight w:val="none"/>
            </w:rPr>
            <w:fldChar w:fldCharType="begin"/>
          </w:r>
          <w:r>
            <w:rPr>
              <w:highlight w:val="none"/>
            </w:rPr>
            <w:instrText xml:space="preserve"> HYPERLINK \l "_Toc9060" </w:instrText>
          </w:r>
          <w:r>
            <w:rPr>
              <w:highlight w:val="none"/>
            </w:rPr>
            <w:fldChar w:fldCharType="separate"/>
          </w:r>
          <w:r>
            <w:rPr>
              <w:rFonts w:hint="eastAsia" w:ascii="宋体" w:hAnsi="宋体" w:eastAsia="宋体" w:cs="宋体"/>
              <w:sz w:val="24"/>
              <w:highlight w:val="none"/>
            </w:rPr>
            <w:t>（一）对有关责任人员的处理建议</w:t>
          </w:r>
          <w:r>
            <w:rPr>
              <w:rFonts w:hint="eastAsia" w:ascii="宋体" w:hAnsi="宋体" w:eastAsia="宋体" w:cs="宋体"/>
              <w:sz w:val="24"/>
              <w:highlight w:val="none"/>
            </w:rPr>
            <w:tab/>
          </w:r>
          <w:r>
            <w:rPr>
              <w:rFonts w:hint="eastAsia" w:ascii="宋体" w:hAnsi="宋体" w:eastAsia="宋体" w:cs="宋体"/>
              <w:sz w:val="24"/>
              <w:highlight w:val="none"/>
            </w:rPr>
            <w:fldChar w:fldCharType="begin"/>
          </w:r>
          <w:r>
            <w:rPr>
              <w:rFonts w:hint="eastAsia" w:ascii="宋体" w:hAnsi="宋体" w:eastAsia="宋体" w:cs="宋体"/>
              <w:sz w:val="24"/>
              <w:highlight w:val="none"/>
            </w:rPr>
            <w:instrText xml:space="preserve"> PAGEREF _Toc9060 \h </w:instrText>
          </w:r>
          <w:r>
            <w:rPr>
              <w:rFonts w:hint="eastAsia" w:ascii="宋体" w:hAnsi="宋体" w:eastAsia="宋体" w:cs="宋体"/>
              <w:sz w:val="24"/>
              <w:highlight w:val="none"/>
            </w:rPr>
            <w:fldChar w:fldCharType="separate"/>
          </w:r>
          <w:r>
            <w:rPr>
              <w:rFonts w:hint="eastAsia" w:ascii="宋体" w:hAnsi="宋体" w:eastAsia="宋体" w:cs="宋体"/>
              <w:sz w:val="24"/>
              <w:highlight w:val="none"/>
            </w:rPr>
            <w:t>- 7 -</w:t>
          </w:r>
          <w:r>
            <w:rPr>
              <w:rFonts w:hint="eastAsia" w:ascii="宋体" w:hAnsi="宋体" w:eastAsia="宋体" w:cs="宋体"/>
              <w:sz w:val="24"/>
              <w:highlight w:val="none"/>
            </w:rPr>
            <w:fldChar w:fldCharType="end"/>
          </w:r>
          <w:r>
            <w:rPr>
              <w:rFonts w:hint="eastAsia" w:ascii="宋体" w:hAnsi="宋体" w:eastAsia="宋体" w:cs="宋体"/>
              <w:sz w:val="24"/>
              <w:highlight w:val="none"/>
            </w:rPr>
            <w:fldChar w:fldCharType="end"/>
          </w:r>
        </w:p>
        <w:p w14:paraId="152D3190">
          <w:pPr>
            <w:pStyle w:val="5"/>
            <w:keepNext w:val="0"/>
            <w:keepLines w:val="0"/>
            <w:pageBreakBefore w:val="0"/>
            <w:widowControl w:val="0"/>
            <w:tabs>
              <w:tab w:val="right" w:leader="dot" w:pos="8845"/>
            </w:tabs>
            <w:kinsoku/>
            <w:wordWrap/>
            <w:overflowPunct/>
            <w:topLinePunct w:val="0"/>
            <w:autoSpaceDE/>
            <w:autoSpaceDN/>
            <w:bidi w:val="0"/>
            <w:adjustRightInd/>
            <w:snapToGrid/>
            <w:spacing w:line="360" w:lineRule="auto"/>
            <w:ind w:firstLine="420" w:firstLineChars="200"/>
            <w:textAlignment w:val="auto"/>
            <w:rPr>
              <w:rFonts w:ascii="宋体" w:hAnsi="宋体" w:eastAsia="宋体" w:cs="宋体"/>
              <w:sz w:val="24"/>
              <w:highlight w:val="none"/>
            </w:rPr>
          </w:pPr>
          <w:r>
            <w:rPr>
              <w:highlight w:val="none"/>
            </w:rPr>
            <w:fldChar w:fldCharType="begin"/>
          </w:r>
          <w:r>
            <w:rPr>
              <w:highlight w:val="none"/>
            </w:rPr>
            <w:instrText xml:space="preserve"> HYPERLINK \l "_Toc17415" </w:instrText>
          </w:r>
          <w:r>
            <w:rPr>
              <w:highlight w:val="none"/>
            </w:rPr>
            <w:fldChar w:fldCharType="separate"/>
          </w:r>
          <w:r>
            <w:rPr>
              <w:rFonts w:hint="eastAsia" w:ascii="宋体" w:hAnsi="宋体" w:eastAsia="宋体" w:cs="宋体"/>
              <w:sz w:val="24"/>
              <w:highlight w:val="none"/>
            </w:rPr>
            <w:t>（二）对有关责任单位的处理建议</w:t>
          </w:r>
          <w:r>
            <w:rPr>
              <w:rFonts w:hint="eastAsia" w:ascii="宋体" w:hAnsi="宋体" w:eastAsia="宋体" w:cs="宋体"/>
              <w:sz w:val="24"/>
              <w:highlight w:val="none"/>
            </w:rPr>
            <w:tab/>
          </w:r>
          <w:r>
            <w:rPr>
              <w:rFonts w:hint="eastAsia" w:ascii="宋体" w:hAnsi="宋体" w:eastAsia="宋体" w:cs="宋体"/>
              <w:sz w:val="24"/>
              <w:highlight w:val="none"/>
            </w:rPr>
            <w:fldChar w:fldCharType="begin"/>
          </w:r>
          <w:r>
            <w:rPr>
              <w:rFonts w:hint="eastAsia" w:ascii="宋体" w:hAnsi="宋体" w:eastAsia="宋体" w:cs="宋体"/>
              <w:sz w:val="24"/>
              <w:highlight w:val="none"/>
            </w:rPr>
            <w:instrText xml:space="preserve"> PAGEREF _Toc17415 \h </w:instrText>
          </w:r>
          <w:r>
            <w:rPr>
              <w:rFonts w:hint="eastAsia" w:ascii="宋体" w:hAnsi="宋体" w:eastAsia="宋体" w:cs="宋体"/>
              <w:sz w:val="24"/>
              <w:highlight w:val="none"/>
            </w:rPr>
            <w:fldChar w:fldCharType="separate"/>
          </w:r>
          <w:r>
            <w:rPr>
              <w:rFonts w:hint="eastAsia" w:ascii="宋体" w:hAnsi="宋体" w:eastAsia="宋体" w:cs="宋体"/>
              <w:sz w:val="24"/>
              <w:highlight w:val="none"/>
            </w:rPr>
            <w:t>- 8 -</w:t>
          </w:r>
          <w:r>
            <w:rPr>
              <w:rFonts w:hint="eastAsia" w:ascii="宋体" w:hAnsi="宋体" w:eastAsia="宋体" w:cs="宋体"/>
              <w:sz w:val="24"/>
              <w:highlight w:val="none"/>
            </w:rPr>
            <w:fldChar w:fldCharType="end"/>
          </w:r>
          <w:r>
            <w:rPr>
              <w:rFonts w:hint="eastAsia" w:ascii="宋体" w:hAnsi="宋体" w:eastAsia="宋体" w:cs="宋体"/>
              <w:sz w:val="24"/>
              <w:highlight w:val="none"/>
            </w:rPr>
            <w:fldChar w:fldCharType="end"/>
          </w:r>
        </w:p>
        <w:p w14:paraId="2FEC5CDB">
          <w:pPr>
            <w:pStyle w:val="5"/>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rPr>
              <w:rFonts w:ascii="宋体" w:hAnsi="宋体" w:eastAsia="宋体" w:cs="宋体"/>
              <w:highlight w:val="none"/>
            </w:rPr>
          </w:pPr>
          <w:r>
            <w:rPr>
              <w:highlight w:val="none"/>
            </w:rPr>
            <w:fldChar w:fldCharType="begin"/>
          </w:r>
          <w:r>
            <w:rPr>
              <w:highlight w:val="none"/>
            </w:rPr>
            <w:instrText xml:space="preserve"> HYPERLINK \l "_Toc8819" </w:instrText>
          </w:r>
          <w:r>
            <w:rPr>
              <w:highlight w:val="none"/>
            </w:rPr>
            <w:fldChar w:fldCharType="separate"/>
          </w:r>
          <w:r>
            <w:rPr>
              <w:rFonts w:hint="eastAsia" w:ascii="黑体" w:hAnsi="黑体" w:eastAsia="黑体" w:cs="黑体"/>
              <w:sz w:val="24"/>
              <w:highlight w:val="none"/>
            </w:rPr>
            <w:t>六、 事故主要教训和事故防范、整改措施建议</w:t>
          </w:r>
          <w:r>
            <w:rPr>
              <w:rFonts w:hint="eastAsia" w:ascii="黑体" w:hAnsi="黑体" w:eastAsia="黑体" w:cs="黑体"/>
              <w:sz w:val="24"/>
              <w:highlight w:val="none"/>
            </w:rPr>
            <w:tab/>
          </w:r>
          <w:r>
            <w:rPr>
              <w:rFonts w:hint="eastAsia" w:ascii="宋体" w:hAnsi="宋体" w:eastAsia="宋体" w:cs="宋体"/>
              <w:sz w:val="24"/>
              <w:highlight w:val="none"/>
            </w:rPr>
            <w:fldChar w:fldCharType="begin"/>
          </w:r>
          <w:r>
            <w:rPr>
              <w:rFonts w:hint="eastAsia" w:ascii="宋体" w:hAnsi="宋体" w:eastAsia="宋体" w:cs="宋体"/>
              <w:sz w:val="24"/>
              <w:highlight w:val="none"/>
            </w:rPr>
            <w:instrText xml:space="preserve"> PAGEREF _Toc8819 \h </w:instrText>
          </w:r>
          <w:r>
            <w:rPr>
              <w:rFonts w:hint="eastAsia" w:ascii="宋体" w:hAnsi="宋体" w:eastAsia="宋体" w:cs="宋体"/>
              <w:sz w:val="24"/>
              <w:highlight w:val="none"/>
            </w:rPr>
            <w:fldChar w:fldCharType="separate"/>
          </w:r>
          <w:r>
            <w:rPr>
              <w:rFonts w:hint="eastAsia" w:ascii="宋体" w:hAnsi="宋体" w:eastAsia="宋体" w:cs="宋体"/>
              <w:sz w:val="24"/>
              <w:highlight w:val="none"/>
            </w:rPr>
            <w:t>- 8 -</w:t>
          </w:r>
          <w:r>
            <w:rPr>
              <w:rFonts w:hint="eastAsia" w:ascii="宋体" w:hAnsi="宋体" w:eastAsia="宋体" w:cs="宋体"/>
              <w:sz w:val="24"/>
              <w:highlight w:val="none"/>
            </w:rPr>
            <w:fldChar w:fldCharType="end"/>
          </w:r>
          <w:r>
            <w:rPr>
              <w:rFonts w:hint="eastAsia" w:ascii="宋体" w:hAnsi="宋体" w:eastAsia="宋体" w:cs="宋体"/>
              <w:sz w:val="24"/>
              <w:highlight w:val="none"/>
            </w:rPr>
            <w:fldChar w:fldCharType="end"/>
          </w:r>
        </w:p>
        <w:p w14:paraId="5125FBC6">
          <w:pPr>
            <w:keepNext w:val="0"/>
            <w:keepLines w:val="0"/>
            <w:pageBreakBefore w:val="0"/>
            <w:widowControl w:val="0"/>
            <w:kinsoku/>
            <w:wordWrap/>
            <w:overflowPunct/>
            <w:topLinePunct w:val="0"/>
            <w:autoSpaceDE/>
            <w:autoSpaceDN/>
            <w:bidi w:val="0"/>
            <w:adjustRightInd/>
            <w:snapToGrid/>
            <w:spacing w:line="360" w:lineRule="auto"/>
            <w:textAlignment w:val="auto"/>
            <w:rPr>
              <w:rFonts w:eastAsia="宋体"/>
              <w:highlight w:val="none"/>
            </w:rPr>
          </w:pPr>
          <w:r>
            <w:rPr>
              <w:rFonts w:hint="eastAsia" w:eastAsia="宋体"/>
              <w:highlight w:val="none"/>
            </w:rPr>
            <w:fldChar w:fldCharType="end"/>
          </w:r>
        </w:p>
        <w:p w14:paraId="75D88795">
          <w:pPr>
            <w:rPr>
              <w:rFonts w:eastAsia="宋体"/>
              <w:highlight w:val="none"/>
            </w:rPr>
          </w:pPr>
        </w:p>
        <w:p w14:paraId="4797CBAA">
          <w:pPr>
            <w:rPr>
              <w:highlight w:val="none"/>
            </w:rPr>
          </w:pPr>
        </w:p>
      </w:sdtContent>
    </w:sdt>
    <w:p w14:paraId="1444B0EB">
      <w:pPr>
        <w:spacing w:line="560" w:lineRule="exact"/>
        <w:ind w:firstLine="640" w:firstLineChars="200"/>
        <w:rPr>
          <w:rFonts w:hint="eastAsia" w:ascii="仿宋_GB2312" w:hAnsi="仿宋_GB2312" w:eastAsia="仿宋_GB2312" w:cs="仿宋_GB2312"/>
          <w:sz w:val="32"/>
          <w:szCs w:val="32"/>
          <w:highlight w:val="none"/>
        </w:rPr>
        <w:sectPr>
          <w:footerReference r:id="rId4" w:type="default"/>
          <w:pgSz w:w="11906" w:h="16838"/>
          <w:pgMar w:top="2098" w:right="1474" w:bottom="1984" w:left="1587" w:header="851" w:footer="1417" w:gutter="0"/>
          <w:pgBorders>
            <w:top w:val="none" w:sz="0" w:space="0"/>
            <w:left w:val="none" w:sz="0" w:space="0"/>
            <w:bottom w:val="none" w:sz="0" w:space="0"/>
            <w:right w:val="none" w:sz="0" w:space="0"/>
          </w:pgBorders>
          <w:pgNumType w:fmt="numberInDash" w:start="1"/>
          <w:cols w:space="0" w:num="1"/>
          <w:rtlGutter w:val="0"/>
          <w:docGrid w:type="lines" w:linePitch="312" w:charSpace="0"/>
        </w:sectPr>
      </w:pPr>
    </w:p>
    <w:p w14:paraId="795DDE8E">
      <w:pPr>
        <w:spacing w:line="56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202</w:t>
      </w: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lang w:val="en-US" w:eastAsia="zh-CN"/>
        </w:rPr>
        <w:t>8</w:t>
      </w:r>
      <w:r>
        <w:rPr>
          <w:rFonts w:hint="eastAsia" w:ascii="仿宋_GB2312" w:hAnsi="仿宋_GB2312" w:eastAsia="仿宋_GB2312" w:cs="仿宋_GB2312"/>
          <w:sz w:val="32"/>
          <w:szCs w:val="32"/>
          <w:highlight w:val="none"/>
        </w:rPr>
        <w:t>日，</w:t>
      </w:r>
      <w:r>
        <w:rPr>
          <w:rFonts w:hint="eastAsia" w:ascii="仿宋_GB2312" w:hAnsi="仿宋_GB2312" w:eastAsia="仿宋_GB2312" w:cs="仿宋_GB2312"/>
          <w:sz w:val="32"/>
          <w:szCs w:val="32"/>
          <w:highlight w:val="none"/>
          <w:lang w:val="en-US" w:eastAsia="zh-CN"/>
        </w:rPr>
        <w:t>苏州金海威光塑胶有限公司（位于高新区）</w:t>
      </w:r>
      <w:r>
        <w:rPr>
          <w:rFonts w:hint="eastAsia" w:ascii="仿宋_GB2312" w:hAnsi="仿宋_GB2312" w:eastAsia="仿宋_GB2312" w:cs="仿宋_GB2312"/>
          <w:sz w:val="32"/>
          <w:szCs w:val="32"/>
          <w:highlight w:val="none"/>
        </w:rPr>
        <w:t>发生一起</w:t>
      </w:r>
      <w:r>
        <w:rPr>
          <w:rFonts w:hint="eastAsia" w:ascii="仿宋_GB2312" w:hAnsi="仿宋_GB2312" w:eastAsia="仿宋_GB2312" w:cs="仿宋_GB2312"/>
          <w:sz w:val="32"/>
          <w:szCs w:val="32"/>
          <w:highlight w:val="none"/>
          <w:lang w:val="en-US" w:eastAsia="zh-CN"/>
        </w:rPr>
        <w:t>机械伤害</w:t>
      </w:r>
      <w:r>
        <w:rPr>
          <w:rFonts w:hint="eastAsia" w:ascii="仿宋_GB2312" w:hAnsi="宋体" w:eastAsia="仿宋_GB2312" w:cs="Times New Roman"/>
          <w:sz w:val="32"/>
          <w:szCs w:val="32"/>
          <w:highlight w:val="none"/>
        </w:rPr>
        <w:t>事故</w:t>
      </w:r>
      <w:r>
        <w:rPr>
          <w:rFonts w:hint="eastAsia" w:ascii="仿宋_GB2312" w:hAnsi="仿宋_GB2312" w:eastAsia="仿宋_GB2312" w:cs="仿宋_GB2312"/>
          <w:sz w:val="32"/>
          <w:szCs w:val="32"/>
          <w:highlight w:val="none"/>
        </w:rPr>
        <w:t>，致一人死亡</w:t>
      </w:r>
      <w:r>
        <w:rPr>
          <w:rFonts w:hint="eastAsia" w:ascii="仿宋_GB2312" w:hAnsi="仿宋_GB2312" w:eastAsia="仿宋_GB2312" w:cs="仿宋_GB2312"/>
          <w:sz w:val="32"/>
          <w:szCs w:val="32"/>
          <w:highlight w:val="none"/>
          <w:lang w:val="en-US" w:eastAsia="zh-CN"/>
        </w:rPr>
        <w:t>。</w:t>
      </w:r>
    </w:p>
    <w:p w14:paraId="5E9E6710">
      <w:pPr>
        <w:spacing w:line="56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根据《生产安全事故报告和调查处理条例》</w:t>
      </w:r>
      <w:r>
        <w:rPr>
          <w:rStyle w:val="14"/>
          <w:rFonts w:hint="eastAsia" w:ascii="仿宋_GB2312" w:hAnsi="仿宋_GB2312" w:eastAsia="仿宋_GB2312" w:cs="仿宋_GB2312"/>
          <w:sz w:val="32"/>
          <w:szCs w:val="32"/>
          <w:highlight w:val="none"/>
        </w:rPr>
        <w:t>[</w:t>
      </w:r>
      <w:r>
        <w:rPr>
          <w:rStyle w:val="14"/>
          <w:rFonts w:hint="eastAsia" w:ascii="仿宋_GB2312" w:hAnsi="仿宋_GB2312" w:eastAsia="仿宋_GB2312" w:cs="仿宋_GB2312"/>
          <w:sz w:val="32"/>
          <w:szCs w:val="32"/>
          <w:highlight w:val="none"/>
        </w:rPr>
        <w:footnoteReference w:id="0"/>
      </w:r>
      <w:r>
        <w:rPr>
          <w:rStyle w:val="14"/>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rPr>
        <w:t>（国务院令493号）第十九条规定，常熟市人民政府成立了苏州金海威光塑胶有限公司“5·8”一般机械伤害事故调查组（以下简称：事故调查组），事故调查组由市应急局、市公安局、市总工会、</w:t>
      </w:r>
      <w:r>
        <w:rPr>
          <w:rFonts w:hint="eastAsia" w:ascii="仿宋_GB2312" w:hAnsi="仿宋_GB2312" w:eastAsia="仿宋_GB2312" w:cs="仿宋_GB2312"/>
          <w:sz w:val="32"/>
          <w:szCs w:val="32"/>
          <w:highlight w:val="none"/>
          <w:lang w:val="en-US" w:eastAsia="zh-CN"/>
        </w:rPr>
        <w:t>高新区</w:t>
      </w:r>
      <w:r>
        <w:rPr>
          <w:rFonts w:hint="eastAsia" w:ascii="仿宋_GB2312" w:hAnsi="仿宋_GB2312" w:eastAsia="仿宋_GB2312" w:cs="仿宋_GB2312"/>
          <w:sz w:val="32"/>
          <w:szCs w:val="32"/>
          <w:highlight w:val="none"/>
        </w:rPr>
        <w:t>相关人员组成，并邀请市纪委监委派员参加。</w:t>
      </w:r>
    </w:p>
    <w:p w14:paraId="1B64D28D">
      <w:pPr>
        <w:spacing w:line="56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事故调查组按照“四不放过”和“科学严谨、依法依规、实事求是、注重实效”的原则，通过现场勘验、调查取证，查明了事故发生的经过、原因、人员伤亡情况，认定了事故性质和责任。</w:t>
      </w:r>
    </w:p>
    <w:p w14:paraId="64239C2F">
      <w:pPr>
        <w:spacing w:line="560" w:lineRule="exact"/>
        <w:ind w:firstLine="640" w:firstLineChars="200"/>
        <w:rPr>
          <w:rFonts w:ascii="仿宋_GB2312" w:hAnsi="仿宋_GB2312" w:eastAsia="仿宋_GB2312" w:cs="仿宋_GB2312"/>
          <w:color w:val="FF0000"/>
          <w:sz w:val="32"/>
          <w:szCs w:val="32"/>
          <w:highlight w:val="none"/>
        </w:rPr>
      </w:pPr>
      <w:r>
        <w:rPr>
          <w:rFonts w:hint="eastAsia" w:ascii="仿宋_GB2312" w:hAnsi="仿宋_GB2312" w:eastAsia="仿宋_GB2312" w:cs="仿宋_GB2312"/>
          <w:sz w:val="32"/>
          <w:szCs w:val="32"/>
          <w:highlight w:val="none"/>
        </w:rPr>
        <w:t>经调查认定，苏州金海威光塑胶有限公司“5·8”一般机械伤害事故是一起因工人违章作业造成的一般生产安全责任事故。</w:t>
      </w:r>
    </w:p>
    <w:p w14:paraId="5350EBE3">
      <w:pPr>
        <w:numPr>
          <w:ilvl w:val="0"/>
          <w:numId w:val="0"/>
        </w:numPr>
        <w:spacing w:line="560" w:lineRule="exact"/>
        <w:ind w:firstLine="640" w:firstLineChars="200"/>
        <w:outlineLvl w:val="0"/>
        <w:rPr>
          <w:rFonts w:ascii="黑体" w:hAnsi="黑体" w:eastAsia="黑体" w:cs="黑体"/>
          <w:sz w:val="32"/>
          <w:szCs w:val="32"/>
          <w:highlight w:val="none"/>
        </w:rPr>
      </w:pPr>
      <w:bookmarkStart w:id="0" w:name="_Toc12166"/>
      <w:r>
        <w:rPr>
          <w:rFonts w:hint="eastAsia" w:ascii="黑体" w:hAnsi="黑体" w:eastAsia="黑体" w:cs="黑体"/>
          <w:sz w:val="32"/>
          <w:szCs w:val="32"/>
          <w:highlight w:val="none"/>
          <w:lang w:eastAsia="zh-CN"/>
        </w:rPr>
        <w:t>一、</w:t>
      </w:r>
      <w:r>
        <w:rPr>
          <w:rFonts w:hint="eastAsia" w:ascii="黑体" w:hAnsi="黑体" w:eastAsia="黑体" w:cs="黑体"/>
          <w:sz w:val="32"/>
          <w:szCs w:val="32"/>
          <w:highlight w:val="none"/>
        </w:rPr>
        <w:t>事故基本情况</w:t>
      </w:r>
      <w:bookmarkEnd w:id="0"/>
    </w:p>
    <w:p w14:paraId="79736FB7">
      <w:pPr>
        <w:numPr>
          <w:ilvl w:val="0"/>
          <w:numId w:val="0"/>
        </w:numPr>
        <w:spacing w:line="560" w:lineRule="exact"/>
        <w:ind w:firstLine="643" w:firstLineChars="200"/>
        <w:outlineLvl w:val="1"/>
        <w:rPr>
          <w:rFonts w:ascii="楷体_GB2312" w:hAnsi="楷体_GB2312" w:eastAsia="楷体_GB2312" w:cs="楷体_GB2312"/>
          <w:b/>
          <w:bCs/>
          <w:sz w:val="32"/>
          <w:szCs w:val="32"/>
          <w:highlight w:val="none"/>
        </w:rPr>
      </w:pPr>
      <w:bookmarkStart w:id="1" w:name="_Toc7204"/>
      <w:r>
        <w:rPr>
          <w:rFonts w:hint="eastAsia" w:ascii="楷体_GB2312" w:hAnsi="楷体_GB2312" w:eastAsia="楷体_GB2312" w:cs="楷体_GB2312"/>
          <w:b/>
          <w:bCs/>
          <w:sz w:val="32"/>
          <w:szCs w:val="32"/>
          <w:highlight w:val="none"/>
          <w:lang w:eastAsia="zh-CN"/>
        </w:rPr>
        <w:t>（一）</w:t>
      </w:r>
      <w:r>
        <w:rPr>
          <w:rFonts w:hint="eastAsia" w:ascii="楷体_GB2312" w:hAnsi="楷体_GB2312" w:eastAsia="楷体_GB2312" w:cs="楷体_GB2312"/>
          <w:b/>
          <w:bCs/>
          <w:sz w:val="32"/>
          <w:szCs w:val="32"/>
          <w:highlight w:val="none"/>
        </w:rPr>
        <w:t>事故</w:t>
      </w:r>
      <w:r>
        <w:rPr>
          <w:rFonts w:hint="eastAsia" w:ascii="楷体_GB2312" w:hAnsi="楷体_GB2312" w:eastAsia="楷体_GB2312" w:cs="楷体_GB2312"/>
          <w:b/>
          <w:bCs/>
          <w:sz w:val="32"/>
          <w:szCs w:val="32"/>
          <w:highlight w:val="none"/>
          <w:lang w:val="en-US" w:eastAsia="zh-CN"/>
        </w:rPr>
        <w:t>发生</w:t>
      </w:r>
      <w:r>
        <w:rPr>
          <w:rFonts w:hint="eastAsia" w:ascii="楷体_GB2312" w:hAnsi="楷体_GB2312" w:eastAsia="楷体_GB2312" w:cs="楷体_GB2312"/>
          <w:b/>
          <w:bCs/>
          <w:sz w:val="32"/>
          <w:szCs w:val="32"/>
          <w:highlight w:val="none"/>
        </w:rPr>
        <w:t>单位概况</w:t>
      </w:r>
      <w:bookmarkEnd w:id="1"/>
    </w:p>
    <w:p w14:paraId="07743627">
      <w:pPr>
        <w:spacing w:line="56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苏州金海威光塑胶有限公司（以下简称“</w:t>
      </w:r>
      <w:r>
        <w:rPr>
          <w:rFonts w:hint="eastAsia" w:ascii="仿宋_GB2312" w:hAnsi="仿宋_GB2312" w:eastAsia="仿宋_GB2312" w:cs="仿宋_GB2312"/>
          <w:sz w:val="32"/>
          <w:szCs w:val="32"/>
          <w:highlight w:val="none"/>
          <w:lang w:val="en-US" w:eastAsia="zh-CN"/>
        </w:rPr>
        <w:t>金海威光公司</w:t>
      </w:r>
      <w:r>
        <w:rPr>
          <w:rFonts w:hint="eastAsia" w:ascii="仿宋_GB2312" w:hAnsi="仿宋_GB2312" w:eastAsia="仿宋_GB2312" w:cs="仿宋_GB2312"/>
          <w:sz w:val="32"/>
          <w:szCs w:val="32"/>
          <w:highlight w:val="none"/>
        </w:rPr>
        <w:t>”）成立于20</w:t>
      </w:r>
      <w:r>
        <w:rPr>
          <w:rFonts w:hint="eastAsia" w:ascii="仿宋_GB2312" w:hAnsi="仿宋_GB2312" w:eastAsia="仿宋_GB2312" w:cs="仿宋_GB2312"/>
          <w:sz w:val="32"/>
          <w:szCs w:val="32"/>
          <w:highlight w:val="none"/>
          <w:lang w:val="en-US" w:eastAsia="zh-CN"/>
        </w:rPr>
        <w:t>15</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lang w:val="en-US" w:eastAsia="zh-CN"/>
        </w:rPr>
        <w:t>8</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lang w:val="en-US" w:eastAsia="zh-CN"/>
        </w:rPr>
        <w:t>19</w:t>
      </w:r>
      <w:r>
        <w:rPr>
          <w:rFonts w:hint="eastAsia" w:ascii="仿宋_GB2312" w:hAnsi="仿宋_GB2312" w:eastAsia="仿宋_GB2312" w:cs="仿宋_GB2312"/>
          <w:sz w:val="32"/>
          <w:szCs w:val="32"/>
          <w:highlight w:val="none"/>
        </w:rPr>
        <w:t>日，法定代表人为</w:t>
      </w:r>
      <w:r>
        <w:rPr>
          <w:rFonts w:hint="eastAsia" w:ascii="仿宋_GB2312" w:hAnsi="仿宋_GB2312" w:eastAsia="仿宋_GB2312" w:cs="仿宋_GB2312"/>
          <w:sz w:val="32"/>
          <w:szCs w:val="32"/>
          <w:highlight w:val="none"/>
          <w:lang w:val="en-US" w:eastAsia="zh-CN"/>
        </w:rPr>
        <w:t>夏某</w:t>
      </w:r>
      <w:r>
        <w:rPr>
          <w:rFonts w:hint="eastAsia" w:ascii="仿宋_GB2312" w:hAnsi="仿宋_GB2312" w:eastAsia="仿宋_GB2312" w:cs="仿宋_GB2312"/>
          <w:sz w:val="32"/>
          <w:szCs w:val="32"/>
          <w:highlight w:val="none"/>
        </w:rPr>
        <w:t>，统一社会信用代码：</w:t>
      </w:r>
      <w:r>
        <w:rPr>
          <w:rFonts w:hint="eastAsia" w:ascii="仿宋_GB2312" w:hAnsi="仿宋_GB2312" w:eastAsia="仿宋_GB2312" w:cs="仿宋_GB2312"/>
          <w:sz w:val="32"/>
          <w:szCs w:val="32"/>
          <w:highlight w:val="none"/>
          <w:lang w:val="en-US" w:eastAsia="zh-CN"/>
        </w:rPr>
        <w:t>913205943465340189</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企业</w:t>
      </w:r>
      <w:r>
        <w:rPr>
          <w:rFonts w:hint="eastAsia" w:ascii="仿宋_GB2312" w:hAnsi="仿宋_GB2312" w:eastAsia="仿宋_GB2312" w:cs="仿宋_GB2312"/>
          <w:sz w:val="32"/>
          <w:szCs w:val="32"/>
          <w:highlight w:val="none"/>
        </w:rPr>
        <w:t>地址位于</w:t>
      </w:r>
      <w:r>
        <w:rPr>
          <w:rFonts w:hint="eastAsia" w:ascii="仿宋_GB2312" w:hAnsi="仿宋_GB2312" w:eastAsia="仿宋_GB2312" w:cs="仿宋_GB2312"/>
          <w:sz w:val="32"/>
          <w:szCs w:val="32"/>
          <w:highlight w:val="none"/>
          <w:lang w:val="en-US" w:eastAsia="zh-CN"/>
        </w:rPr>
        <w:t>常熟市东南街道银环路28-1号10幢102，</w:t>
      </w:r>
      <w:r>
        <w:rPr>
          <w:rFonts w:hint="eastAsia" w:ascii="仿宋_GB2312" w:hAnsi="仿宋_GB2312" w:eastAsia="仿宋_GB2312" w:cs="仿宋_GB2312"/>
          <w:sz w:val="32"/>
          <w:szCs w:val="32"/>
          <w:highlight w:val="none"/>
        </w:rPr>
        <w:t>经营范围包括</w:t>
      </w:r>
      <w:r>
        <w:rPr>
          <w:rFonts w:hint="eastAsia" w:ascii="仿宋_GB2312" w:hAnsi="仿宋_GB2312" w:eastAsia="仿宋_GB2312" w:cs="仿宋_GB2312"/>
          <w:sz w:val="32"/>
          <w:szCs w:val="32"/>
          <w:highlight w:val="none"/>
          <w:lang w:val="en-US" w:eastAsia="zh-CN"/>
        </w:rPr>
        <w:t>生产、销售：塑料制品。</w:t>
      </w:r>
    </w:p>
    <w:p w14:paraId="25D9DF84">
      <w:pPr>
        <w:numPr>
          <w:ilvl w:val="0"/>
          <w:numId w:val="0"/>
        </w:numPr>
        <w:spacing w:line="560" w:lineRule="exact"/>
        <w:ind w:firstLine="643" w:firstLineChars="200"/>
        <w:outlineLvl w:val="1"/>
        <w:rPr>
          <w:rFonts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lang w:val="en-US" w:eastAsia="zh-CN"/>
        </w:rPr>
        <w:t>（二）安全管理情况</w:t>
      </w:r>
    </w:p>
    <w:p w14:paraId="7ACE63C8">
      <w:pPr>
        <w:spacing w:line="56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金海威光公司共有员工20人，主要负责人为公司总经理金某，金某于2025年3月20日取得安全资格证书（资格类型：主要负责人）。公司安全员李某婷负责公司台账管理，班组长张某群负责生产现场管理，技术员杨某负责机器调试及检维修，三人共同负责公司安全管理工作。</w:t>
      </w:r>
    </w:p>
    <w:p w14:paraId="05FBF687">
      <w:pPr>
        <w:numPr>
          <w:ilvl w:val="0"/>
          <w:numId w:val="0"/>
        </w:numPr>
        <w:spacing w:line="560" w:lineRule="exact"/>
        <w:ind w:firstLine="643" w:firstLineChars="200"/>
        <w:outlineLvl w:val="1"/>
        <w:rPr>
          <w:rFonts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lang w:val="en-US" w:eastAsia="zh-CN"/>
        </w:rPr>
        <w:t>（三）事故发生经过</w:t>
      </w:r>
    </w:p>
    <w:p w14:paraId="70A8286F">
      <w:pPr>
        <w:spacing w:line="56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2025年5月8日下午17时许，吹塑机操作工陈某华至一楼车间上班，为10号吹塑机拿取机器内成型的塑料件，作业期间</w:t>
      </w:r>
      <w:r>
        <w:rPr>
          <w:rFonts w:hint="eastAsia" w:ascii="仿宋_GB2312" w:hAnsi="仿宋_GB2312" w:eastAsia="仿宋_GB2312" w:cs="仿宋_GB2312"/>
          <w:sz w:val="32"/>
          <w:szCs w:val="32"/>
          <w:highlight w:val="none"/>
          <w:lang w:val="en-US" w:eastAsia="zh-CN"/>
        </w:rPr>
        <w:t>吹塑机处于多循环自动工作模式。18时17分许，陈某华在吹塑机未停机情况下，将上半身探入吹塑机合模区域拿取塑料件时（图1），因身体部位脱离光栅可检测范围</w:t>
      </w:r>
      <w:r>
        <w:rPr>
          <w:rStyle w:val="14"/>
          <w:rFonts w:hint="eastAsia" w:ascii="仿宋_GB2312" w:hAnsi="仿宋_GB2312" w:eastAsia="仿宋_GB2312" w:cs="仿宋_GB2312"/>
          <w:sz w:val="32"/>
          <w:szCs w:val="32"/>
          <w:highlight w:val="none"/>
          <w:lang w:val="en-US" w:eastAsia="zh-CN"/>
        </w:rPr>
        <w:t>[</w:t>
      </w:r>
      <w:r>
        <w:rPr>
          <w:rStyle w:val="14"/>
          <w:rFonts w:hint="eastAsia" w:ascii="仿宋_GB2312" w:hAnsi="仿宋_GB2312" w:eastAsia="仿宋_GB2312" w:cs="仿宋_GB2312"/>
          <w:sz w:val="32"/>
          <w:szCs w:val="32"/>
          <w:highlight w:val="none"/>
          <w:lang w:val="en-US" w:eastAsia="zh-CN"/>
        </w:rPr>
        <w:footnoteReference w:id="1"/>
      </w:r>
      <w:r>
        <w:rPr>
          <w:rStyle w:val="14"/>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lang w:val="en-US" w:eastAsia="zh-CN"/>
        </w:rPr>
        <w:t>，吹塑机自动合模，导致陈某华被模具挤压。</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786AC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tcBorders>
              <w:top w:val="nil"/>
              <w:left w:val="nil"/>
              <w:bottom w:val="nil"/>
              <w:right w:val="nil"/>
            </w:tcBorders>
            <w:shd w:val="clear" w:color="auto" w:fill="auto"/>
            <w:vAlign w:val="top"/>
          </w:tcPr>
          <w:p w14:paraId="5E28EA3A">
            <w:pPr>
              <w:jc w:val="center"/>
              <w:rPr>
                <w:rFonts w:hint="default" w:ascii="仿宋_GB2312" w:hAnsi="仿宋_GB2312" w:eastAsia="仿宋_GB2312" w:cs="仿宋_GB2312"/>
                <w:kern w:val="2"/>
                <w:sz w:val="32"/>
                <w:szCs w:val="32"/>
                <w:highlight w:val="none"/>
                <w:lang w:val="en-US" w:eastAsia="zh-CN" w:bidi="ar-SA"/>
              </w:rPr>
            </w:pPr>
            <w:r>
              <w:rPr>
                <w:sz w:val="21"/>
                <w:highlight w:val="none"/>
              </w:rPr>
              <mc:AlternateContent>
                <mc:Choice Requires="wps">
                  <w:drawing>
                    <wp:anchor distT="0" distB="0" distL="114300" distR="114300" simplePos="0" relativeHeight="251661312" behindDoc="0" locked="0" layoutInCell="1" allowOverlap="1">
                      <wp:simplePos x="0" y="0"/>
                      <wp:positionH relativeFrom="column">
                        <wp:posOffset>2974975</wp:posOffset>
                      </wp:positionH>
                      <wp:positionV relativeFrom="paragraph">
                        <wp:posOffset>994410</wp:posOffset>
                      </wp:positionV>
                      <wp:extent cx="1119505" cy="1000125"/>
                      <wp:effectExtent l="6350" t="6350" r="17145" b="22225"/>
                      <wp:wrapNone/>
                      <wp:docPr id="6" name="矩形 6"/>
                      <wp:cNvGraphicFramePr/>
                      <a:graphic xmlns:a="http://schemas.openxmlformats.org/drawingml/2006/main">
                        <a:graphicData uri="http://schemas.microsoft.com/office/word/2010/wordprocessingShape">
                          <wps:wsp>
                            <wps:cNvSpPr/>
                            <wps:spPr>
                              <a:xfrm>
                                <a:off x="4347845" y="6549390"/>
                                <a:ext cx="1119505" cy="1000125"/>
                              </a:xfrm>
                              <a:prstGeom prst="rect">
                                <a:avLst/>
                              </a:prstGeom>
                              <a:noFill/>
                              <a:ln>
                                <a:solidFill>
                                  <a:srgbClr val="C0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34.25pt;margin-top:78.3pt;height:78.75pt;width:88.15pt;z-index:251661312;v-text-anchor:middle;mso-width-relative:page;mso-height-relative:page;" filled="f" stroked="t" coordsize="21600,21600" o:gfxdata="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AZ220Y2QAAAAsBAAAPAAAAAAAAAAEAIAAAACIAAABk&#10;cnMvZG93bnJldi54bWxQSwECFAAUAAAACACHTuJAEOfuBXcCAADYBAAADgAAAAAAAAABACAAAAAo&#10;AQAAZHJzL2Uyb0RvYy54bWxQSwUGAAAAAAYABgBZAQAAEQYAAAAA&#10;">
                      <v:fill on="f" focussize="0,0"/>
                      <v:stroke weight="1pt" color="#C00000 [2404]" miterlimit="8" joinstyle="miter"/>
                      <v:imagedata o:title=""/>
                      <o:lock v:ext="edit" aspectratio="f"/>
                    </v:rect>
                  </w:pict>
                </mc:Fallback>
              </mc:AlternateContent>
            </w:r>
            <w:r>
              <w:rPr>
                <w:highlight w:val="none"/>
              </w:rPr>
              <w:drawing>
                <wp:inline distT="0" distB="0" distL="114300" distR="114300">
                  <wp:extent cx="2804160" cy="4125595"/>
                  <wp:effectExtent l="0" t="0" r="8255" b="1524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7"/>
                          <a:stretch>
                            <a:fillRect/>
                          </a:stretch>
                        </pic:blipFill>
                        <pic:spPr>
                          <a:xfrm rot="16200000">
                            <a:off x="0" y="0"/>
                            <a:ext cx="2804160" cy="4125595"/>
                          </a:xfrm>
                          <a:prstGeom prst="rect">
                            <a:avLst/>
                          </a:prstGeom>
                          <a:noFill/>
                          <a:ln>
                            <a:noFill/>
                          </a:ln>
                        </pic:spPr>
                      </pic:pic>
                    </a:graphicData>
                  </a:graphic>
                </wp:inline>
              </w:drawing>
            </w:r>
          </w:p>
        </w:tc>
      </w:tr>
      <w:tr w14:paraId="1C30E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9061" w:type="dxa"/>
            <w:tcBorders>
              <w:top w:val="nil"/>
              <w:left w:val="nil"/>
              <w:bottom w:val="nil"/>
              <w:right w:val="nil"/>
            </w:tcBorders>
            <w:shd w:val="clear" w:color="auto" w:fill="auto"/>
            <w:vAlign w:val="top"/>
          </w:tcPr>
          <w:p w14:paraId="614A5681">
            <w:pPr>
              <w:jc w:val="center"/>
              <w:rPr>
                <w:rFonts w:hint="default" w:ascii="仿宋_GB2312" w:hAnsi="仿宋_GB2312" w:eastAsia="仿宋_GB2312" w:cs="仿宋_GB2312"/>
                <w:kern w:val="2"/>
                <w:sz w:val="32"/>
                <w:szCs w:val="32"/>
                <w:highlight w:val="none"/>
                <w:lang w:val="en-US" w:eastAsia="zh-CN" w:bidi="ar-SA"/>
              </w:rPr>
            </w:pPr>
            <w:r>
              <w:rPr>
                <w:rFonts w:hint="eastAsia" w:ascii="宋体" w:hAnsi="宋体" w:eastAsia="宋体" w:cs="宋体"/>
                <w:kern w:val="2"/>
                <w:sz w:val="28"/>
                <w:szCs w:val="28"/>
                <w:highlight w:val="none"/>
                <w:lang w:val="en-US" w:eastAsia="zh-CN" w:bidi="ar-SA"/>
              </w:rPr>
              <w:t>图1 现场监控视频</w:t>
            </w:r>
          </w:p>
        </w:tc>
      </w:tr>
    </w:tbl>
    <w:p w14:paraId="51589581">
      <w:pPr>
        <w:numPr>
          <w:ilvl w:val="0"/>
          <w:numId w:val="0"/>
        </w:numPr>
        <w:spacing w:line="560" w:lineRule="exact"/>
        <w:ind w:firstLine="643" w:firstLineChars="200"/>
        <w:outlineLvl w:val="1"/>
        <w:rPr>
          <w:rFonts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lang w:val="en-US" w:eastAsia="zh-CN"/>
        </w:rPr>
        <w:t>（四）设备情况</w:t>
      </w:r>
    </w:p>
    <w:p w14:paraId="2667F65D">
      <w:pPr>
        <w:spacing w:line="560" w:lineRule="exact"/>
        <w:ind w:firstLine="640" w:firstLineChars="200"/>
        <w:rPr>
          <w:rFonts w:ascii="楷体_GB2312" w:hAnsi="楷体_GB2312" w:eastAsia="楷体_GB2312" w:cs="楷体_GB2312"/>
          <w:sz w:val="32"/>
          <w:szCs w:val="32"/>
          <w:highlight w:val="none"/>
        </w:rPr>
      </w:pPr>
      <w:r>
        <w:rPr>
          <w:rFonts w:hint="eastAsia" w:ascii="仿宋_GB2312" w:hAnsi="仿宋_GB2312" w:eastAsia="仿宋_GB2312" w:cs="仿宋_GB2312"/>
          <w:sz w:val="32"/>
          <w:szCs w:val="32"/>
          <w:highlight w:val="none"/>
        </w:rPr>
        <w:t>事故设备名称：</w:t>
      </w:r>
      <w:r>
        <w:rPr>
          <w:rFonts w:hint="eastAsia" w:ascii="仿宋_GB2312" w:hAnsi="仿宋_GB2312" w:eastAsia="仿宋_GB2312" w:cs="仿宋_GB2312"/>
          <w:sz w:val="32"/>
          <w:szCs w:val="32"/>
          <w:highlight w:val="none"/>
          <w:lang w:val="en-US" w:eastAsia="zh-CN"/>
        </w:rPr>
        <w:t>塑料挤吹中空成型机，设备型号规格：TDB-80F,出厂日期2016年5月11日，生产厂家：苏州同大机械有限公司，螺杆直径100mm，机器重量16吨。机器主要由机架、塑化系统、模头、开合模机构、升降装置、液压系统、气动系统、冷却系统、电气控制系统组成。吹塑机出料侧安装有光栅，光栅与模具边缘间距约48cm。经测试光栅处于正常启用状态，光栅检测到遮挡会阻止机器进行合模。</w:t>
      </w:r>
    </w:p>
    <w:p w14:paraId="3AADD4F9">
      <w:pPr>
        <w:numPr>
          <w:ilvl w:val="0"/>
          <w:numId w:val="0"/>
        </w:numPr>
        <w:spacing w:line="560" w:lineRule="exact"/>
        <w:ind w:firstLine="643" w:firstLineChars="200"/>
        <w:outlineLvl w:val="1"/>
        <w:rPr>
          <w:rFonts w:ascii="楷体_GB2312" w:hAnsi="楷体_GB2312" w:eastAsia="楷体_GB2312" w:cs="楷体_GB2312"/>
          <w:b/>
          <w:bCs/>
          <w:sz w:val="32"/>
          <w:szCs w:val="32"/>
          <w:highlight w:val="none"/>
        </w:rPr>
      </w:pPr>
      <w:bookmarkStart w:id="2" w:name="_Toc12548"/>
      <w:r>
        <w:rPr>
          <w:rFonts w:hint="eastAsia" w:ascii="楷体_GB2312" w:hAnsi="楷体_GB2312" w:eastAsia="楷体_GB2312" w:cs="楷体_GB2312"/>
          <w:b/>
          <w:bCs/>
          <w:sz w:val="32"/>
          <w:szCs w:val="32"/>
          <w:highlight w:val="none"/>
          <w:lang w:eastAsia="zh-CN"/>
        </w:rPr>
        <w:t>（五）</w:t>
      </w:r>
      <w:r>
        <w:rPr>
          <w:rFonts w:hint="eastAsia" w:ascii="楷体_GB2312" w:hAnsi="楷体_GB2312" w:eastAsia="楷体_GB2312" w:cs="楷体_GB2312"/>
          <w:b/>
          <w:bCs/>
          <w:sz w:val="32"/>
          <w:szCs w:val="32"/>
          <w:highlight w:val="none"/>
        </w:rPr>
        <w:t>事故现场情况</w:t>
      </w:r>
      <w:bookmarkEnd w:id="2"/>
    </w:p>
    <w:p w14:paraId="75C99F0D">
      <w:pPr>
        <w:spacing w:line="560" w:lineRule="exact"/>
        <w:ind w:firstLine="640" w:firstLineChars="200"/>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kern w:val="2"/>
          <w:sz w:val="32"/>
          <w:szCs w:val="32"/>
          <w:highlight w:val="none"/>
          <w:lang w:val="en-US" w:eastAsia="zh-CN" w:bidi="ar-SA"/>
        </w:rPr>
        <mc:AlternateContent>
          <mc:Choice Requires="wps">
            <w:drawing>
              <wp:anchor distT="0" distB="0" distL="114300" distR="114300" simplePos="0" relativeHeight="251660288" behindDoc="0" locked="0" layoutInCell="1" allowOverlap="1">
                <wp:simplePos x="0" y="0"/>
                <wp:positionH relativeFrom="column">
                  <wp:posOffset>6704965</wp:posOffset>
                </wp:positionH>
                <wp:positionV relativeFrom="paragraph">
                  <wp:posOffset>582930</wp:posOffset>
                </wp:positionV>
                <wp:extent cx="914400" cy="914400"/>
                <wp:effectExtent l="0" t="0" r="0" b="0"/>
                <wp:wrapNone/>
                <wp:docPr id="15" name="文本框 15"/>
                <wp:cNvGraphicFramePr/>
                <a:graphic xmlns:a="http://schemas.openxmlformats.org/drawingml/2006/main">
                  <a:graphicData uri="http://schemas.microsoft.com/office/word/2010/wordprocessingShape">
                    <wps:wsp>
                      <wps:cNvSpPr txBox="1"/>
                      <wps:spPr>
                        <a:xfrm>
                          <a:off x="1861820" y="833755"/>
                          <a:ext cx="914400" cy="9144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E406FB">
                            <w:pPr>
                              <w:rPr>
                                <w:rFonts w:hint="eastAsia" w:eastAsiaTheme="minorEastAsia"/>
                                <w:color w:val="FF0000"/>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27.95pt;margin-top:45.9pt;height:72pt;width:72pt;z-index:251660288;mso-width-relative:page;mso-height-relative:page;" filled="f" stroked="f" coordsize="21600,21600" o:gfxdata="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0ppp1tsAAAAMAQAADwAAAAAAAAABACAAAAAi&#10;AAAAZHJzL2Rvd25yZXYueG1sUEsBAhQAFAAAAAgAh07iQIxhVlZAAgAAcgQAAA4AAAAAAAAAAQAg&#10;AAAAKgEAAGRycy9lMm9Eb2MueG1sUEsFBgAAAAAGAAYAWQEAANwFAAAAAA==&#10;">
                <v:fill on="f" focussize="0,0"/>
                <v:stroke on="f" weight="0.5pt"/>
                <v:imagedata o:title=""/>
                <o:lock v:ext="edit" aspectratio="f"/>
                <v:textbox>
                  <w:txbxContent>
                    <w:p w14:paraId="79E406FB">
                      <w:pPr>
                        <w:rPr>
                          <w:rFonts w:hint="eastAsia" w:eastAsiaTheme="minorEastAsia"/>
                          <w:color w:val="FF0000"/>
                          <w:lang w:val="en-US" w:eastAsia="zh-CN"/>
                        </w:rPr>
                      </w:pPr>
                    </w:p>
                  </w:txbxContent>
                </v:textbox>
              </v:shape>
            </w:pict>
          </mc:Fallback>
        </mc:AlternateContent>
      </w:r>
      <w:r>
        <w:rPr>
          <w:rFonts w:hint="eastAsia" w:ascii="仿宋_GB2312" w:hAnsi="仿宋_GB2312" w:eastAsia="仿宋_GB2312" w:cs="仿宋_GB2312"/>
          <w:sz w:val="32"/>
          <w:szCs w:val="32"/>
          <w:highlight w:val="none"/>
        </w:rPr>
        <w:t>事故现场位于</w:t>
      </w:r>
      <w:r>
        <w:rPr>
          <w:rFonts w:hint="eastAsia" w:ascii="仿宋_GB2312" w:hAnsi="仿宋_GB2312" w:eastAsia="仿宋_GB2312" w:cs="仿宋_GB2312"/>
          <w:sz w:val="32"/>
          <w:szCs w:val="32"/>
          <w:highlight w:val="none"/>
          <w:lang w:val="en-US" w:eastAsia="zh-CN"/>
        </w:rPr>
        <w:t>金海威光公司一楼生产车间南侧10号吹塑机（图2），事故发生时吹塑机模式设置为多循环自动工作模式</w:t>
      </w:r>
      <w:r>
        <w:rPr>
          <w:rStyle w:val="14"/>
          <w:rFonts w:hint="eastAsia" w:ascii="仿宋_GB2312" w:hAnsi="仿宋_GB2312" w:eastAsia="仿宋_GB2312" w:cs="仿宋_GB2312"/>
          <w:sz w:val="32"/>
          <w:szCs w:val="32"/>
          <w:highlight w:val="none"/>
          <w:lang w:val="en-US" w:eastAsia="zh-CN"/>
        </w:rPr>
        <w:t>[</w:t>
      </w:r>
      <w:r>
        <w:rPr>
          <w:rStyle w:val="14"/>
          <w:rFonts w:hint="eastAsia" w:ascii="仿宋_GB2312" w:hAnsi="仿宋_GB2312" w:eastAsia="仿宋_GB2312" w:cs="仿宋_GB2312"/>
          <w:sz w:val="32"/>
          <w:szCs w:val="32"/>
          <w:highlight w:val="none"/>
          <w:lang w:val="en-US" w:eastAsia="zh-CN"/>
        </w:rPr>
        <w:footnoteReference w:id="2"/>
      </w:r>
      <w:r>
        <w:rPr>
          <w:rStyle w:val="14"/>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lang w:val="en-US" w:eastAsia="zh-CN"/>
        </w:rPr>
        <w:t>（图3）。作业流程为吹塑机合模成型后开模，工人在出料侧手动将塑料件取下并进行后续加工处理，机器合模一次完成后至下次合模间隔约20秒，</w:t>
      </w:r>
      <w:r>
        <w:rPr>
          <w:rFonts w:hint="eastAsia" w:ascii="仿宋_GB2312" w:hAnsi="仿宋_GB2312" w:eastAsia="仿宋_GB2312" w:cs="仿宋_GB2312"/>
          <w:color w:val="auto"/>
          <w:sz w:val="32"/>
          <w:szCs w:val="32"/>
          <w:highlight w:val="none"/>
          <w:lang w:val="en-US" w:eastAsia="zh-CN"/>
        </w:rPr>
        <w:t>过程中光栅检测到阻挡会停止进行下一次合模</w:t>
      </w:r>
      <w:r>
        <w:rPr>
          <w:rFonts w:hint="eastAsia" w:ascii="仿宋_GB2312" w:hAnsi="仿宋_GB2312" w:eastAsia="仿宋_GB2312" w:cs="仿宋_GB2312"/>
          <w:sz w:val="32"/>
          <w:szCs w:val="32"/>
          <w:highlight w:val="none"/>
          <w:lang w:val="en-US" w:eastAsia="zh-CN"/>
        </w:rPr>
        <w:t>（图4）。</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1"/>
      </w:tblGrid>
      <w:tr w14:paraId="69A9D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8" w:hRule="atLeast"/>
        </w:trPr>
        <w:tc>
          <w:tcPr>
            <w:tcW w:w="9061" w:type="dxa"/>
            <w:tcBorders>
              <w:top w:val="nil"/>
              <w:left w:val="nil"/>
              <w:bottom w:val="nil"/>
              <w:right w:val="nil"/>
            </w:tcBorders>
            <w:shd w:val="clear" w:color="auto" w:fill="auto"/>
            <w:vAlign w:val="top"/>
          </w:tcPr>
          <w:p w14:paraId="6200BF76">
            <w:pPr>
              <w:jc w:val="center"/>
              <w:rPr>
                <w:rFonts w:hint="default" w:ascii="仿宋_GB2312" w:hAnsi="仿宋_GB2312" w:eastAsia="仿宋_GB2312" w:cs="仿宋_GB2312"/>
                <w:kern w:val="2"/>
                <w:sz w:val="32"/>
                <w:szCs w:val="32"/>
                <w:highlight w:val="none"/>
                <w:lang w:val="en-US" w:eastAsia="zh-CN" w:bidi="ar-SA"/>
              </w:rPr>
            </w:pPr>
            <w:r>
              <w:rPr>
                <w:rFonts w:hint="default" w:ascii="仿宋_GB2312" w:hAnsi="仿宋_GB2312" w:eastAsia="仿宋_GB2312" w:cs="仿宋_GB2312"/>
                <w:kern w:val="2"/>
                <w:sz w:val="32"/>
                <w:szCs w:val="32"/>
                <w:highlight w:val="none"/>
                <w:lang w:val="en-US" w:eastAsia="zh-CN" w:bidi="ar-SA"/>
              </w:rPr>
              <w:drawing>
                <wp:inline distT="0" distB="0" distL="114300" distR="114300">
                  <wp:extent cx="4679315" cy="3510915"/>
                  <wp:effectExtent l="0" t="0" r="6985" b="13335"/>
                  <wp:docPr id="1" name="图片 1" descr="099f039fd40d074de4547cb97c48ef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099f039fd40d074de4547cb97c48ef8"/>
                          <pic:cNvPicPr>
                            <a:picLocks noChangeAspect="1"/>
                          </pic:cNvPicPr>
                        </pic:nvPicPr>
                        <pic:blipFill>
                          <a:blip r:embed="rId8"/>
                          <a:stretch>
                            <a:fillRect/>
                          </a:stretch>
                        </pic:blipFill>
                        <pic:spPr>
                          <a:xfrm>
                            <a:off x="0" y="0"/>
                            <a:ext cx="4679315" cy="3510915"/>
                          </a:xfrm>
                          <a:prstGeom prst="rect">
                            <a:avLst/>
                          </a:prstGeom>
                        </pic:spPr>
                      </pic:pic>
                    </a:graphicData>
                  </a:graphic>
                </wp:inline>
              </w:drawing>
            </w:r>
          </w:p>
        </w:tc>
      </w:tr>
      <w:tr w14:paraId="32DD2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9061" w:type="dxa"/>
            <w:tcBorders>
              <w:top w:val="nil"/>
              <w:left w:val="nil"/>
              <w:bottom w:val="nil"/>
              <w:right w:val="nil"/>
            </w:tcBorders>
            <w:shd w:val="clear" w:color="auto" w:fill="auto"/>
            <w:vAlign w:val="top"/>
          </w:tcPr>
          <w:p w14:paraId="63D9497D">
            <w:pPr>
              <w:jc w:val="center"/>
              <w:rPr>
                <w:rFonts w:hint="eastAsia" w:ascii="仿宋_GB2312" w:hAnsi="仿宋_GB2312" w:eastAsia="仿宋_GB2312" w:cs="仿宋_GB2312"/>
                <w:kern w:val="2"/>
                <w:sz w:val="32"/>
                <w:szCs w:val="32"/>
                <w:highlight w:val="none"/>
                <w:lang w:val="en-US" w:eastAsia="zh-CN" w:bidi="ar-SA"/>
              </w:rPr>
            </w:pPr>
            <w:r>
              <w:rPr>
                <w:rFonts w:hint="eastAsia" w:ascii="宋体" w:hAnsi="宋体" w:eastAsia="宋体" w:cs="宋体"/>
                <w:kern w:val="2"/>
                <w:sz w:val="28"/>
                <w:szCs w:val="28"/>
                <w:highlight w:val="none"/>
                <w:lang w:val="en-US" w:eastAsia="zh-CN" w:bidi="ar-SA"/>
              </w:rPr>
              <w:t>图2 事故发生地点</w:t>
            </w:r>
          </w:p>
        </w:tc>
      </w:tr>
      <w:tr w14:paraId="74DDA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tcBorders>
              <w:top w:val="nil"/>
              <w:left w:val="nil"/>
              <w:bottom w:val="nil"/>
              <w:right w:val="nil"/>
            </w:tcBorders>
            <w:shd w:val="clear" w:color="auto" w:fill="auto"/>
            <w:vAlign w:val="top"/>
          </w:tcPr>
          <w:p w14:paraId="50FDA82A">
            <w:pPr>
              <w:jc w:val="center"/>
              <w:rPr>
                <w:rFonts w:hint="eastAsia" w:ascii="仿宋_GB2312" w:hAnsi="仿宋_GB2312" w:eastAsia="仿宋_GB2312" w:cs="仿宋_GB2312"/>
                <w:kern w:val="2"/>
                <w:sz w:val="32"/>
                <w:szCs w:val="32"/>
                <w:highlight w:val="none"/>
                <w:lang w:val="en-US" w:eastAsia="zh-CN" w:bidi="ar-SA"/>
              </w:rPr>
            </w:pPr>
            <w:bookmarkStart w:id="3" w:name="_Toc32319"/>
            <w:r>
              <w:rPr>
                <w:sz w:val="21"/>
                <w:highlight w:val="none"/>
              </w:rPr>
              <mc:AlternateContent>
                <mc:Choice Requires="wps">
                  <w:drawing>
                    <wp:anchor distT="0" distB="0" distL="114300" distR="114300" simplePos="0" relativeHeight="251662336" behindDoc="0" locked="0" layoutInCell="1" allowOverlap="1">
                      <wp:simplePos x="0" y="0"/>
                      <wp:positionH relativeFrom="column">
                        <wp:posOffset>2629535</wp:posOffset>
                      </wp:positionH>
                      <wp:positionV relativeFrom="paragraph">
                        <wp:posOffset>1203325</wp:posOffset>
                      </wp:positionV>
                      <wp:extent cx="1508760" cy="190500"/>
                      <wp:effectExtent l="6350" t="6350" r="8890" b="12700"/>
                      <wp:wrapNone/>
                      <wp:docPr id="10" name="矩形 10"/>
                      <wp:cNvGraphicFramePr/>
                      <a:graphic xmlns:a="http://schemas.openxmlformats.org/drawingml/2006/main">
                        <a:graphicData uri="http://schemas.microsoft.com/office/word/2010/wordprocessingShape">
                          <wps:wsp>
                            <wps:cNvSpPr/>
                            <wps:spPr>
                              <a:xfrm>
                                <a:off x="0" y="0"/>
                                <a:ext cx="1508760" cy="190500"/>
                              </a:xfrm>
                              <a:prstGeom prst="rect">
                                <a:avLst/>
                              </a:prstGeom>
                              <a:noFill/>
                              <a:ln>
                                <a:solidFill>
                                  <a:srgbClr val="C0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07.05pt;margin-top:94.75pt;height:15pt;width:118.8pt;z-index:251662336;v-text-anchor:middle;mso-width-relative:page;mso-height-relative:page;" filled="f" stroked="t" coordsize="21600,21600" o:gfxdata="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KspcQvZAAAACwEAAA8AAAAAAAAAAQAgAAAAIgAAAGRycy9kb3ducmV2LnhtbFBL&#10;AQIUABQAAAAIAIdO4kBbJsFRZwIAAM0EAAAOAAAAAAAAAAEAIAAAACgBAABkcnMvZTJvRG9jLnht&#10;bFBLBQYAAAAABgAGAFkBAAABBgAAAAA=&#10;">
                      <v:fill on="f" focussize="0,0"/>
                      <v:stroke weight="1pt" color="#C00000 [2404]" miterlimit="8" joinstyle="miter"/>
                      <v:imagedata o:title=""/>
                      <o:lock v:ext="edit" aspectratio="f"/>
                    </v:rect>
                  </w:pict>
                </mc:Fallback>
              </mc:AlternateContent>
            </w:r>
            <w:r>
              <w:rPr>
                <w:rFonts w:hint="eastAsia" w:ascii="仿宋_GB2312" w:hAnsi="仿宋_GB2312" w:eastAsia="仿宋_GB2312" w:cs="仿宋_GB2312"/>
                <w:kern w:val="2"/>
                <w:sz w:val="32"/>
                <w:szCs w:val="32"/>
                <w:highlight w:val="none"/>
                <w:lang w:val="en-US" w:eastAsia="zh-CN" w:bidi="ar-SA"/>
              </w:rPr>
              <w:drawing>
                <wp:inline distT="0" distB="0" distL="114300" distR="114300">
                  <wp:extent cx="4207510" cy="3154045"/>
                  <wp:effectExtent l="0" t="0" r="2540" b="8255"/>
                  <wp:docPr id="11" name="图片 11" descr="c0e88110ff242ca288d19084430bff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c0e88110ff242ca288d19084430bff1"/>
                          <pic:cNvPicPr>
                            <a:picLocks noChangeAspect="1"/>
                          </pic:cNvPicPr>
                        </pic:nvPicPr>
                        <pic:blipFill>
                          <a:blip r:embed="rId9"/>
                          <a:stretch>
                            <a:fillRect/>
                          </a:stretch>
                        </pic:blipFill>
                        <pic:spPr>
                          <a:xfrm>
                            <a:off x="0" y="0"/>
                            <a:ext cx="4207510" cy="3154045"/>
                          </a:xfrm>
                          <a:prstGeom prst="rect">
                            <a:avLst/>
                          </a:prstGeom>
                        </pic:spPr>
                      </pic:pic>
                    </a:graphicData>
                  </a:graphic>
                </wp:inline>
              </w:drawing>
            </w:r>
          </w:p>
        </w:tc>
      </w:tr>
      <w:tr w14:paraId="7062B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tcBorders>
              <w:top w:val="nil"/>
              <w:left w:val="nil"/>
              <w:bottom w:val="nil"/>
              <w:right w:val="nil"/>
            </w:tcBorders>
            <w:shd w:val="clear" w:color="auto" w:fill="auto"/>
            <w:vAlign w:val="top"/>
          </w:tcPr>
          <w:p w14:paraId="57652C99">
            <w:pPr>
              <w:jc w:val="center"/>
              <w:rPr>
                <w:rFonts w:hint="default" w:ascii="仿宋_GB2312" w:hAnsi="仿宋_GB2312" w:eastAsia="仿宋_GB2312" w:cs="仿宋_GB2312"/>
                <w:kern w:val="2"/>
                <w:sz w:val="32"/>
                <w:szCs w:val="32"/>
                <w:highlight w:val="none"/>
                <w:lang w:val="en-US" w:eastAsia="zh-CN" w:bidi="ar-SA"/>
              </w:rPr>
            </w:pPr>
            <w:r>
              <w:rPr>
                <w:rFonts w:hint="eastAsia" w:ascii="宋体" w:hAnsi="宋体" w:eastAsia="宋体" w:cs="宋体"/>
                <w:kern w:val="2"/>
                <w:sz w:val="28"/>
                <w:szCs w:val="28"/>
                <w:highlight w:val="none"/>
                <w:lang w:val="en-US" w:eastAsia="zh-CN" w:bidi="ar-SA"/>
              </w:rPr>
              <w:t>图3 吹塑机设置的</w:t>
            </w:r>
            <w:r>
              <w:rPr>
                <w:rFonts w:hint="eastAsia" w:ascii="宋体" w:hAnsi="宋体" w:eastAsia="宋体" w:cs="宋体"/>
                <w:sz w:val="28"/>
                <w:szCs w:val="28"/>
                <w:highlight w:val="none"/>
                <w:lang w:val="en-US" w:eastAsia="zh-CN"/>
              </w:rPr>
              <w:t>多循环自动工作模式</w:t>
            </w:r>
          </w:p>
        </w:tc>
      </w:tr>
      <w:tr w14:paraId="0F2E1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tcBorders>
              <w:top w:val="nil"/>
              <w:left w:val="nil"/>
              <w:bottom w:val="nil"/>
              <w:right w:val="nil"/>
            </w:tcBorders>
            <w:shd w:val="clear" w:color="auto" w:fill="auto"/>
            <w:vAlign w:val="top"/>
          </w:tcPr>
          <w:p w14:paraId="6333CB17">
            <w:pPr>
              <w:jc w:val="center"/>
              <w:rPr>
                <w:rFonts w:hint="eastAsia" w:ascii="仿宋_GB2312" w:hAnsi="仿宋_GB2312" w:eastAsia="仿宋_GB2312" w:cs="仿宋_GB2312"/>
                <w:kern w:val="2"/>
                <w:sz w:val="32"/>
                <w:szCs w:val="32"/>
                <w:highlight w:val="none"/>
                <w:lang w:val="en-US" w:eastAsia="zh-CN" w:bidi="ar-SA"/>
              </w:rPr>
            </w:pPr>
            <w:r>
              <w:rPr>
                <w:sz w:val="32"/>
                <w:highlight w:val="none"/>
              </w:rPr>
              <mc:AlternateContent>
                <mc:Choice Requires="wps">
                  <w:drawing>
                    <wp:anchor distT="0" distB="0" distL="114300" distR="114300" simplePos="0" relativeHeight="251664384" behindDoc="0" locked="0" layoutInCell="1" allowOverlap="1">
                      <wp:simplePos x="0" y="0"/>
                      <wp:positionH relativeFrom="column">
                        <wp:posOffset>2030095</wp:posOffset>
                      </wp:positionH>
                      <wp:positionV relativeFrom="paragraph">
                        <wp:posOffset>1886585</wp:posOffset>
                      </wp:positionV>
                      <wp:extent cx="914400" cy="502285"/>
                      <wp:effectExtent l="0" t="0" r="0" b="0"/>
                      <wp:wrapNone/>
                      <wp:docPr id="16" name="文本框 16"/>
                      <wp:cNvGraphicFramePr/>
                      <a:graphic xmlns:a="http://schemas.openxmlformats.org/drawingml/2006/main">
                        <a:graphicData uri="http://schemas.microsoft.com/office/word/2010/wordprocessingShape">
                          <wps:wsp>
                            <wps:cNvSpPr txBox="1"/>
                            <wps:spPr>
                              <a:xfrm>
                                <a:off x="3236595" y="3433445"/>
                                <a:ext cx="914400" cy="5022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19621A">
                                  <w:pPr>
                                    <w:rPr>
                                      <w:rFonts w:hint="default" w:eastAsiaTheme="minorEastAsia"/>
                                      <w:color w:val="C00000"/>
                                      <w:lang w:val="en-US" w:eastAsia="zh-CN"/>
                                    </w:rPr>
                                  </w:pPr>
                                  <w:r>
                                    <w:rPr>
                                      <w:rFonts w:hint="eastAsia"/>
                                      <w:color w:val="C00000"/>
                                      <w:lang w:val="en-US" w:eastAsia="zh-CN"/>
                                    </w:rPr>
                                    <w:t>光栅与模具间距约48cm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9.85pt;margin-top:148.55pt;height:39.55pt;width:72pt;z-index:251664384;mso-width-relative:page;mso-height-relative:page;" filled="f" stroked="f" coordsize="21600,21600" o:gfxdata="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OIi5hncAAAACwEAAA8AAAAAAAAA&#10;AQAgAAAAIgAAAGRycy9kb3ducmV2LnhtbFBLAQIUABQAAAAIAIdO4kDdBJHBRgIAAHMEAAAOAAAA&#10;AAAAAAEAIAAAACsBAABkcnMvZTJvRG9jLnhtbFBLBQYAAAAABgAGAFkBAADjBQAAAAA=&#10;">
                      <v:fill on="f" focussize="0,0"/>
                      <v:stroke on="f" weight="0.5pt"/>
                      <v:imagedata o:title=""/>
                      <o:lock v:ext="edit" aspectratio="f"/>
                      <v:textbox>
                        <w:txbxContent>
                          <w:p w14:paraId="2919621A">
                            <w:pPr>
                              <w:rPr>
                                <w:rFonts w:hint="default" w:eastAsiaTheme="minorEastAsia"/>
                                <w:color w:val="C00000"/>
                                <w:lang w:val="en-US" w:eastAsia="zh-CN"/>
                              </w:rPr>
                            </w:pPr>
                            <w:r>
                              <w:rPr>
                                <w:rFonts w:hint="eastAsia"/>
                                <w:color w:val="C00000"/>
                                <w:lang w:val="en-US" w:eastAsia="zh-CN"/>
                              </w:rPr>
                              <w:t>光栅与模具间距约48cm</w:t>
                            </w:r>
                          </w:p>
                        </w:txbxContent>
                      </v:textbox>
                    </v:shape>
                  </w:pict>
                </mc:Fallback>
              </mc:AlternateContent>
            </w:r>
            <w:r>
              <w:rPr>
                <w:sz w:val="32"/>
                <w:highlight w:val="none"/>
              </w:rPr>
              <mc:AlternateContent>
                <mc:Choice Requires="wps">
                  <w:drawing>
                    <wp:anchor distT="0" distB="0" distL="114300" distR="114300" simplePos="0" relativeHeight="251663360" behindDoc="0" locked="0" layoutInCell="1" allowOverlap="1">
                      <wp:simplePos x="0" y="0"/>
                      <wp:positionH relativeFrom="column">
                        <wp:posOffset>2165985</wp:posOffset>
                      </wp:positionH>
                      <wp:positionV relativeFrom="paragraph">
                        <wp:posOffset>2386965</wp:posOffset>
                      </wp:positionV>
                      <wp:extent cx="999490" cy="119380"/>
                      <wp:effectExtent l="0" t="40005" r="10160" b="50165"/>
                      <wp:wrapNone/>
                      <wp:docPr id="14" name="直接箭头连接符 14"/>
                      <wp:cNvGraphicFramePr/>
                      <a:graphic xmlns:a="http://schemas.openxmlformats.org/drawingml/2006/main">
                        <a:graphicData uri="http://schemas.microsoft.com/office/word/2010/wordprocessingShape">
                          <wps:wsp>
                            <wps:cNvCnPr/>
                            <wps:spPr>
                              <a:xfrm flipV="1">
                                <a:off x="2974975" y="3719195"/>
                                <a:ext cx="999490" cy="119380"/>
                              </a:xfrm>
                              <a:prstGeom prst="straightConnector1">
                                <a:avLst/>
                              </a:prstGeom>
                              <a:ln>
                                <a:solidFill>
                                  <a:srgbClr val="C00000"/>
                                </a:solidFill>
                                <a:headEnd type="arrow"/>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170.55pt;margin-top:187.95pt;height:9.4pt;width:78.7pt;z-index:251663360;mso-width-relative:page;mso-height-relative:page;" filled="f" stroked="t" coordsize="21600,21600" o:gfxdata="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i4VhBdwAAAALAQAADwAAAAAAAAABACAAAAAiAAAAZHJzL2Rvd25yZXYueG1sUEsBAhQA&#10;FAAAAAgAh07iQEIPseknAgAAFAQAAA4AAAAAAAAAAQAgAAAAKwEAAGRycy9lMm9Eb2MueG1sUEsF&#10;BgAAAAAGAAYAWQEAAMQFAAAAAA==&#10;">
                      <v:fill on="f" focussize="0,0"/>
                      <v:stroke weight="1pt" color="#C00000 [3204]" miterlimit="8" joinstyle="miter" startarrow="open" endarrow="open"/>
                      <v:imagedata o:title=""/>
                      <o:lock v:ext="edit" aspectratio="f"/>
                    </v:shape>
                  </w:pict>
                </mc:Fallback>
              </mc:AlternateContent>
            </w:r>
            <w:r>
              <w:rPr>
                <w:rFonts w:hint="eastAsia" w:ascii="仿宋_GB2312" w:hAnsi="仿宋_GB2312" w:eastAsia="仿宋_GB2312" w:cs="仿宋_GB2312"/>
                <w:kern w:val="2"/>
                <w:sz w:val="32"/>
                <w:szCs w:val="32"/>
                <w:highlight w:val="none"/>
                <w:lang w:val="en-US" w:eastAsia="zh-CN" w:bidi="ar-SA"/>
              </w:rPr>
              <w:drawing>
                <wp:inline distT="0" distB="0" distL="114300" distR="114300">
                  <wp:extent cx="3094355" cy="4125595"/>
                  <wp:effectExtent l="0" t="0" r="10795" b="8255"/>
                  <wp:docPr id="13" name="图片 13" descr="35c492b90c4349865b75121ec50a18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35c492b90c4349865b75121ec50a18a"/>
                          <pic:cNvPicPr>
                            <a:picLocks noChangeAspect="1"/>
                          </pic:cNvPicPr>
                        </pic:nvPicPr>
                        <pic:blipFill>
                          <a:blip r:embed="rId10"/>
                          <a:stretch>
                            <a:fillRect/>
                          </a:stretch>
                        </pic:blipFill>
                        <pic:spPr>
                          <a:xfrm>
                            <a:off x="0" y="0"/>
                            <a:ext cx="3094355" cy="4125595"/>
                          </a:xfrm>
                          <a:prstGeom prst="rect">
                            <a:avLst/>
                          </a:prstGeom>
                        </pic:spPr>
                      </pic:pic>
                    </a:graphicData>
                  </a:graphic>
                </wp:inline>
              </w:drawing>
            </w:r>
          </w:p>
        </w:tc>
      </w:tr>
      <w:tr w14:paraId="65CD3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tcBorders>
              <w:top w:val="nil"/>
              <w:left w:val="nil"/>
              <w:bottom w:val="nil"/>
              <w:right w:val="nil"/>
            </w:tcBorders>
            <w:shd w:val="clear" w:color="auto" w:fill="auto"/>
            <w:vAlign w:val="top"/>
          </w:tcPr>
          <w:p w14:paraId="66079D57">
            <w:pPr>
              <w:jc w:val="center"/>
              <w:rPr>
                <w:rFonts w:hint="eastAsia" w:ascii="仿宋_GB2312" w:hAnsi="仿宋_GB2312" w:eastAsia="仿宋_GB2312" w:cs="仿宋_GB2312"/>
                <w:kern w:val="2"/>
                <w:sz w:val="32"/>
                <w:szCs w:val="32"/>
                <w:highlight w:val="none"/>
                <w:lang w:val="en-US" w:eastAsia="zh-CN" w:bidi="ar-SA"/>
              </w:rPr>
            </w:pPr>
            <w:r>
              <w:rPr>
                <w:rFonts w:hint="eastAsia" w:ascii="宋体" w:hAnsi="宋体" w:eastAsia="宋体" w:cs="宋体"/>
                <w:kern w:val="2"/>
                <w:sz w:val="28"/>
                <w:szCs w:val="28"/>
                <w:highlight w:val="none"/>
                <w:lang w:val="en-US" w:eastAsia="zh-CN" w:bidi="ar-SA"/>
              </w:rPr>
              <w:t>图4 吹塑机</w:t>
            </w:r>
            <w:r>
              <w:rPr>
                <w:rFonts w:hint="eastAsia" w:ascii="宋体" w:hAnsi="宋体" w:eastAsia="宋体" w:cs="宋体"/>
                <w:sz w:val="28"/>
                <w:szCs w:val="28"/>
                <w:highlight w:val="none"/>
                <w:lang w:val="en-US" w:eastAsia="zh-CN"/>
              </w:rPr>
              <w:t>出料侧安装有光栅</w:t>
            </w:r>
          </w:p>
        </w:tc>
      </w:tr>
    </w:tbl>
    <w:p w14:paraId="568D5F77">
      <w:pPr>
        <w:numPr>
          <w:ilvl w:val="0"/>
          <w:numId w:val="0"/>
        </w:numPr>
        <w:spacing w:line="560" w:lineRule="exact"/>
        <w:outlineLvl w:val="1"/>
        <w:rPr>
          <w:rFonts w:ascii="楷体_GB2312" w:hAnsi="楷体_GB2312" w:eastAsia="楷体_GB2312" w:cs="楷体_GB2312"/>
          <w:sz w:val="32"/>
          <w:szCs w:val="32"/>
          <w:highlight w:val="none"/>
        </w:rPr>
      </w:pPr>
    </w:p>
    <w:p w14:paraId="504B6A9D">
      <w:pPr>
        <w:numPr>
          <w:ilvl w:val="0"/>
          <w:numId w:val="0"/>
        </w:numPr>
        <w:spacing w:line="560" w:lineRule="exact"/>
        <w:ind w:firstLine="643" w:firstLineChars="200"/>
        <w:outlineLvl w:val="1"/>
        <w:rPr>
          <w:rFonts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lang w:val="en-US" w:eastAsia="zh-CN"/>
        </w:rPr>
        <w:t>（六）人</w:t>
      </w:r>
      <w:r>
        <w:rPr>
          <w:rFonts w:hint="eastAsia" w:ascii="楷体_GB2312" w:hAnsi="楷体_GB2312" w:eastAsia="楷体_GB2312" w:cs="楷体_GB2312"/>
          <w:b/>
          <w:bCs/>
          <w:sz w:val="32"/>
          <w:szCs w:val="32"/>
          <w:highlight w:val="none"/>
        </w:rPr>
        <w:t>员伤亡和直接经济损失情况</w:t>
      </w:r>
      <w:bookmarkEnd w:id="3"/>
    </w:p>
    <w:p w14:paraId="0A4E4116">
      <w:pPr>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苏州金海威光塑胶有限公司“5·8”一般机械伤害事故造成1人死亡。死者情况如下：</w:t>
      </w:r>
      <w:r>
        <w:rPr>
          <w:rFonts w:hint="eastAsia" w:ascii="仿宋_GB2312" w:hAnsi="仿宋_GB2312" w:eastAsia="仿宋_GB2312" w:cs="仿宋_GB2312"/>
          <w:sz w:val="32"/>
          <w:szCs w:val="32"/>
          <w:highlight w:val="none"/>
          <w:lang w:val="en-US" w:eastAsia="zh-CN"/>
        </w:rPr>
        <w:t>陈某华</w:t>
      </w:r>
      <w:r>
        <w:rPr>
          <w:rFonts w:hint="eastAsia" w:ascii="仿宋_GB2312" w:hAnsi="仿宋_GB2312" w:eastAsia="仿宋_GB2312" w:cs="仿宋_GB2312"/>
          <w:sz w:val="32"/>
          <w:szCs w:val="32"/>
          <w:highlight w:val="none"/>
          <w:u w:val="none"/>
        </w:rPr>
        <w:t>，</w:t>
      </w:r>
      <w:r>
        <w:rPr>
          <w:rFonts w:hint="eastAsia" w:ascii="仿宋_GB2312" w:hAnsi="仿宋_GB2312" w:eastAsia="仿宋_GB2312" w:cs="仿宋_GB2312"/>
          <w:sz w:val="32"/>
          <w:szCs w:val="32"/>
          <w:highlight w:val="none"/>
          <w:u w:val="none"/>
          <w:lang w:val="en-US" w:eastAsia="zh-CN"/>
        </w:rPr>
        <w:t>男</w:t>
      </w:r>
      <w:r>
        <w:rPr>
          <w:rFonts w:hint="eastAsia" w:ascii="仿宋_GB2312" w:hAnsi="仿宋_GB2312" w:eastAsia="仿宋_GB2312" w:cs="仿宋_GB2312"/>
          <w:sz w:val="32"/>
          <w:szCs w:val="32"/>
          <w:highlight w:val="none"/>
          <w:u w:val="none"/>
        </w:rPr>
        <w:t>，</w:t>
      </w:r>
      <w:r>
        <w:rPr>
          <w:rFonts w:hint="eastAsia" w:ascii="仿宋_GB2312" w:hAnsi="仿宋_GB2312" w:eastAsia="仿宋_GB2312" w:cs="仿宋_GB2312"/>
          <w:sz w:val="32"/>
          <w:szCs w:val="32"/>
          <w:highlight w:val="none"/>
          <w:u w:val="none"/>
          <w:lang w:val="en-US" w:eastAsia="zh-CN"/>
        </w:rPr>
        <w:t>51</w:t>
      </w:r>
      <w:r>
        <w:rPr>
          <w:rFonts w:hint="eastAsia" w:ascii="仿宋_GB2312" w:hAnsi="仿宋_GB2312" w:eastAsia="仿宋_GB2312" w:cs="仿宋_GB2312"/>
          <w:sz w:val="32"/>
          <w:szCs w:val="32"/>
          <w:highlight w:val="none"/>
          <w:u w:val="none"/>
        </w:rPr>
        <w:t>岁，身份证号码：</w:t>
      </w:r>
      <w:r>
        <w:rPr>
          <w:rFonts w:hint="eastAsia" w:ascii="仿宋_GB2312" w:hAnsi="仿宋_GB2312" w:eastAsia="仿宋_GB2312" w:cs="仿宋_GB2312"/>
          <w:sz w:val="32"/>
          <w:szCs w:val="32"/>
          <w:highlight w:val="none"/>
          <w:u w:val="none"/>
          <w:lang w:val="en-US" w:eastAsia="zh-CN"/>
        </w:rPr>
        <w:t>532</w:t>
      </w:r>
      <w:r>
        <w:rPr>
          <w:rFonts w:hint="eastAsia" w:ascii="仿宋_GB2312" w:hAnsi="仿宋_GB2312" w:eastAsia="仿宋_GB2312" w:cs="仿宋_GB2312"/>
          <w:sz w:val="32"/>
          <w:szCs w:val="32"/>
          <w:lang w:val="en-US" w:eastAsia="zh-CN"/>
        </w:rPr>
        <w:t>XXXXXXXXXXXXX</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住址：云南省曲靖市沾益县大坡乡河尾村委会法乃村民小组64号</w:t>
      </w:r>
      <w:r>
        <w:rPr>
          <w:rFonts w:hint="eastAsia" w:ascii="仿宋_GB2312" w:hAnsi="仿宋_GB2312" w:eastAsia="仿宋_GB2312" w:cs="仿宋_GB2312"/>
          <w:sz w:val="32"/>
          <w:szCs w:val="32"/>
          <w:highlight w:val="none"/>
        </w:rPr>
        <w:t>。</w:t>
      </w:r>
    </w:p>
    <w:p w14:paraId="2FBFC156">
      <w:pPr>
        <w:spacing w:line="560" w:lineRule="exact"/>
        <w:ind w:firstLine="640" w:firstLineChars="200"/>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陈某华通过劳务中介公司</w:t>
      </w:r>
      <w:r>
        <w:rPr>
          <w:rStyle w:val="14"/>
          <w:rFonts w:hint="eastAsia" w:ascii="仿宋_GB2312" w:hAnsi="仿宋_GB2312" w:eastAsia="仿宋_GB2312" w:cs="仿宋_GB2312"/>
          <w:sz w:val="32"/>
          <w:szCs w:val="32"/>
          <w:highlight w:val="none"/>
          <w:lang w:val="en-US" w:eastAsia="zh-CN"/>
        </w:rPr>
        <w:t>[</w:t>
      </w:r>
      <w:r>
        <w:rPr>
          <w:rStyle w:val="14"/>
          <w:rFonts w:hint="eastAsia" w:ascii="仿宋_GB2312" w:hAnsi="仿宋_GB2312" w:eastAsia="仿宋_GB2312" w:cs="仿宋_GB2312"/>
          <w:sz w:val="32"/>
          <w:szCs w:val="32"/>
          <w:highlight w:val="none"/>
          <w:lang w:val="en-US" w:eastAsia="zh-CN"/>
        </w:rPr>
        <w:footnoteReference w:id="3"/>
      </w:r>
      <w:r>
        <w:rPr>
          <w:rStyle w:val="14"/>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lang w:val="en-US" w:eastAsia="zh-CN"/>
        </w:rPr>
        <w:t>进入金海威光公司工作，并与劳务中介公司签订劳动合同。</w:t>
      </w:r>
    </w:p>
    <w:p w14:paraId="7FE1FF1E">
      <w:pPr>
        <w:spacing w:line="560" w:lineRule="exact"/>
        <w:ind w:firstLine="640" w:firstLineChars="200"/>
        <w:rPr>
          <w:rFonts w:ascii="仿宋_GB2312" w:hAnsi="仿宋_GB2312" w:eastAsia="仿宋_GB2312" w:cs="仿宋_GB2312"/>
          <w:sz w:val="32"/>
          <w:szCs w:val="32"/>
          <w:highlight w:val="none"/>
        </w:rPr>
      </w:pPr>
      <w:bookmarkStart w:id="4" w:name="_Toc155"/>
      <w:r>
        <w:rPr>
          <w:rFonts w:ascii="仿宋_GB2312" w:hAnsi="仿宋_GB2312" w:eastAsia="仿宋_GB2312" w:cs="仿宋_GB2312"/>
          <w:sz w:val="32"/>
          <w:szCs w:val="32"/>
          <w:highlight w:val="none"/>
        </w:rPr>
        <w:t>根据《企业职工伤亡事故经济损失统计标准》（GB</w:t>
      </w:r>
      <w:r>
        <w:rPr>
          <w:rFonts w:hint="eastAsia" w:ascii="仿宋_GB2312" w:hAnsi="仿宋_GB2312" w:eastAsia="仿宋_GB2312" w:cs="仿宋_GB2312"/>
          <w:sz w:val="32"/>
          <w:szCs w:val="32"/>
          <w:highlight w:val="none"/>
        </w:rPr>
        <w:t xml:space="preserve">/T </w:t>
      </w:r>
      <w:r>
        <w:rPr>
          <w:rFonts w:ascii="仿宋_GB2312" w:hAnsi="仿宋_GB2312" w:eastAsia="仿宋_GB2312" w:cs="仿宋_GB2312"/>
          <w:sz w:val="32"/>
          <w:szCs w:val="32"/>
          <w:highlight w:val="none"/>
        </w:rPr>
        <w:t>672</w:t>
      </w:r>
      <w:r>
        <w:rPr>
          <w:rFonts w:hint="eastAsia" w:ascii="仿宋_GB2312" w:hAnsi="仿宋_GB2312" w:eastAsia="仿宋_GB2312" w:cs="仿宋_GB2312"/>
          <w:sz w:val="32"/>
          <w:szCs w:val="32"/>
          <w:highlight w:val="none"/>
        </w:rPr>
        <w:t>1</w:t>
      </w:r>
      <w:r>
        <w:rPr>
          <w:rFonts w:ascii="仿宋_GB2312" w:hAnsi="仿宋_GB2312" w:eastAsia="仿宋_GB2312" w:cs="仿宋_GB2312"/>
          <w:sz w:val="32"/>
          <w:szCs w:val="32"/>
          <w:highlight w:val="none"/>
        </w:rPr>
        <w:t>）及《国家安全监管总局印发关于生产安全事故调查处理中有关问题规定的通知》（安监总政法</w:t>
      </w:r>
      <w:r>
        <w:rPr>
          <w:rFonts w:hint="eastAsia" w:ascii="仿宋_GB2312" w:hAnsi="仿宋_GB2312" w:eastAsia="仿宋_GB2312" w:cs="仿宋_GB2312"/>
          <w:sz w:val="32"/>
          <w:szCs w:val="32"/>
          <w:highlight w:val="none"/>
        </w:rPr>
        <w:t>〔2013〕</w:t>
      </w:r>
      <w:r>
        <w:rPr>
          <w:rFonts w:ascii="仿宋_GB2312" w:hAnsi="仿宋_GB2312" w:eastAsia="仿宋_GB2312" w:cs="仿宋_GB2312"/>
          <w:sz w:val="32"/>
          <w:szCs w:val="32"/>
          <w:highlight w:val="none"/>
        </w:rPr>
        <w:t>115号）等规定，核定事故直接经济损失约</w:t>
      </w:r>
      <w:r>
        <w:rPr>
          <w:rFonts w:hint="eastAsia" w:ascii="仿宋_GB2312" w:hAnsi="仿宋_GB2312" w:eastAsia="仿宋_GB2312" w:cs="仿宋_GB2312"/>
          <w:sz w:val="32"/>
          <w:szCs w:val="32"/>
          <w:highlight w:val="none"/>
          <w:lang w:val="en-US" w:eastAsia="zh-CN"/>
        </w:rPr>
        <w:t>118</w:t>
      </w:r>
      <w:r>
        <w:rPr>
          <w:rFonts w:ascii="仿宋_GB2312" w:hAnsi="仿宋_GB2312" w:eastAsia="仿宋_GB2312" w:cs="仿宋_GB2312"/>
          <w:sz w:val="32"/>
          <w:szCs w:val="32"/>
          <w:highlight w:val="none"/>
        </w:rPr>
        <w:t>万元（含一次性死亡赔偿金、丧葬费、精神损害抚慰金</w:t>
      </w:r>
      <w:r>
        <w:rPr>
          <w:rFonts w:hint="eastAsia" w:ascii="仿宋_GB2312" w:hAnsi="仿宋_GB2312" w:eastAsia="仿宋_GB2312" w:cs="仿宋_GB2312"/>
          <w:sz w:val="32"/>
          <w:szCs w:val="32"/>
          <w:highlight w:val="none"/>
          <w:lang w:eastAsia="zh-CN"/>
        </w:rPr>
        <w:t>，</w:t>
      </w:r>
      <w:r>
        <w:rPr>
          <w:rFonts w:ascii="仿宋_GB2312" w:hAnsi="仿宋_GB2312" w:eastAsia="仿宋_GB2312" w:cs="仿宋_GB2312"/>
          <w:sz w:val="32"/>
          <w:szCs w:val="32"/>
          <w:highlight w:val="none"/>
        </w:rPr>
        <w:t>以及其他参与事故处理人员误工损失、交通费等各项费用，不含事故罚款）。</w:t>
      </w:r>
    </w:p>
    <w:p w14:paraId="6BC77809">
      <w:pPr>
        <w:numPr>
          <w:ilvl w:val="0"/>
          <w:numId w:val="0"/>
        </w:numPr>
        <w:spacing w:line="560" w:lineRule="exact"/>
        <w:ind w:firstLine="640" w:firstLineChars="200"/>
        <w:outlineLvl w:val="0"/>
        <w:rPr>
          <w:rFonts w:ascii="黑体" w:hAnsi="黑体" w:eastAsia="黑体" w:cs="黑体"/>
          <w:sz w:val="32"/>
          <w:szCs w:val="32"/>
          <w:highlight w:val="none"/>
        </w:rPr>
      </w:pPr>
      <w:r>
        <w:rPr>
          <w:rFonts w:hint="eastAsia" w:ascii="黑体" w:hAnsi="黑体" w:eastAsia="黑体" w:cs="黑体"/>
          <w:sz w:val="32"/>
          <w:szCs w:val="32"/>
          <w:highlight w:val="none"/>
          <w:lang w:eastAsia="zh-CN"/>
        </w:rPr>
        <w:t>二、</w:t>
      </w:r>
      <w:r>
        <w:rPr>
          <w:rFonts w:hint="eastAsia" w:ascii="黑体" w:hAnsi="黑体" w:eastAsia="黑体" w:cs="黑体"/>
          <w:sz w:val="32"/>
          <w:szCs w:val="32"/>
          <w:highlight w:val="none"/>
        </w:rPr>
        <w:t>事故应急处置及评估情况</w:t>
      </w:r>
      <w:bookmarkEnd w:id="4"/>
    </w:p>
    <w:p w14:paraId="066A315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outlineLvl w:val="1"/>
        <w:rPr>
          <w:rFonts w:ascii="楷体_GB2312" w:hAnsi="楷体_GB2312" w:eastAsia="楷体_GB2312" w:cs="楷体_GB2312"/>
          <w:b/>
          <w:bCs/>
          <w:sz w:val="32"/>
          <w:szCs w:val="32"/>
          <w:highlight w:val="none"/>
        </w:rPr>
      </w:pPr>
      <w:bookmarkStart w:id="5" w:name="_Toc14834"/>
      <w:r>
        <w:rPr>
          <w:rFonts w:hint="eastAsia" w:ascii="楷体_GB2312" w:hAnsi="楷体_GB2312" w:eastAsia="楷体_GB2312" w:cs="楷体_GB2312"/>
          <w:b/>
          <w:bCs/>
          <w:sz w:val="32"/>
          <w:szCs w:val="32"/>
          <w:highlight w:val="none"/>
          <w:lang w:eastAsia="zh-CN"/>
        </w:rPr>
        <w:t>（一）</w:t>
      </w:r>
      <w:r>
        <w:rPr>
          <w:rFonts w:hint="eastAsia" w:ascii="楷体_GB2312" w:hAnsi="楷体_GB2312" w:eastAsia="楷体_GB2312" w:cs="楷体_GB2312"/>
          <w:b/>
          <w:bCs/>
          <w:sz w:val="32"/>
          <w:szCs w:val="32"/>
          <w:highlight w:val="none"/>
        </w:rPr>
        <w:t>事故现场应急处置情况</w:t>
      </w:r>
      <w:bookmarkEnd w:id="5"/>
    </w:p>
    <w:p w14:paraId="77EE7F91">
      <w:pPr>
        <w:spacing w:line="560" w:lineRule="exact"/>
        <w:ind w:firstLine="640" w:firstLineChars="200"/>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2025年5月8日18时30分许，班组长张某群在公司一楼车间巡视过程中发现陈某华被机器卡住，随即通知技术员杨某，由杨某操作吹塑机将陈某华救出，张某群拨打“120”电话。18时50分许，“120”救护车到达现场，将陈某华送往新区医院。</w:t>
      </w:r>
    </w:p>
    <w:p w14:paraId="750D429D">
      <w:pPr>
        <w:numPr>
          <w:ilvl w:val="0"/>
          <w:numId w:val="0"/>
        </w:numPr>
        <w:spacing w:line="560" w:lineRule="exact"/>
        <w:ind w:firstLine="643" w:firstLineChars="200"/>
        <w:outlineLvl w:val="1"/>
        <w:rPr>
          <w:rFonts w:ascii="楷体_GB2312" w:hAnsi="楷体_GB2312" w:eastAsia="楷体_GB2312" w:cs="楷体_GB2312"/>
          <w:b/>
          <w:bCs/>
          <w:sz w:val="32"/>
          <w:szCs w:val="32"/>
          <w:highlight w:val="none"/>
        </w:rPr>
      </w:pPr>
      <w:bookmarkStart w:id="6" w:name="_Toc10796"/>
      <w:r>
        <w:rPr>
          <w:rFonts w:hint="eastAsia" w:ascii="楷体_GB2312" w:hAnsi="楷体_GB2312" w:eastAsia="楷体_GB2312" w:cs="楷体_GB2312"/>
          <w:b/>
          <w:bCs/>
          <w:sz w:val="32"/>
          <w:szCs w:val="32"/>
          <w:highlight w:val="none"/>
          <w:lang w:eastAsia="zh-CN"/>
        </w:rPr>
        <w:t>（二）</w:t>
      </w:r>
      <w:r>
        <w:rPr>
          <w:rFonts w:hint="eastAsia" w:ascii="楷体_GB2312" w:hAnsi="楷体_GB2312" w:eastAsia="楷体_GB2312" w:cs="楷体_GB2312"/>
          <w:b/>
          <w:bCs/>
          <w:sz w:val="32"/>
          <w:szCs w:val="32"/>
          <w:highlight w:val="none"/>
        </w:rPr>
        <w:t>医疗救治和善后情况</w:t>
      </w:r>
      <w:bookmarkEnd w:id="6"/>
    </w:p>
    <w:p w14:paraId="6207DCD6">
      <w:pPr>
        <w:spacing w:line="56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2025年5月8日19</w:t>
      </w:r>
      <w:r>
        <w:rPr>
          <w:rFonts w:hint="eastAsia" w:ascii="仿宋_GB2312" w:hAnsi="仿宋_GB2312" w:eastAsia="仿宋_GB2312" w:cs="仿宋_GB2312"/>
          <w:sz w:val="32"/>
          <w:szCs w:val="32"/>
          <w:highlight w:val="none"/>
        </w:rPr>
        <w:t>时</w:t>
      </w:r>
      <w:r>
        <w:rPr>
          <w:rFonts w:hint="eastAsia" w:ascii="仿宋_GB2312" w:hAnsi="仿宋_GB2312" w:eastAsia="仿宋_GB2312" w:cs="仿宋_GB2312"/>
          <w:sz w:val="32"/>
          <w:szCs w:val="32"/>
          <w:highlight w:val="none"/>
          <w:lang w:val="en-US" w:eastAsia="zh-CN"/>
        </w:rPr>
        <w:t>44分</w:t>
      </w:r>
      <w:r>
        <w:rPr>
          <w:rFonts w:hint="eastAsia" w:ascii="仿宋_GB2312" w:hAnsi="仿宋_GB2312" w:eastAsia="仿宋_GB2312" w:cs="仿宋_GB2312"/>
          <w:sz w:val="32"/>
          <w:szCs w:val="32"/>
          <w:highlight w:val="none"/>
        </w:rPr>
        <w:t>许，</w:t>
      </w:r>
      <w:r>
        <w:rPr>
          <w:rFonts w:hint="eastAsia" w:ascii="仿宋_GB2312" w:hAnsi="仿宋_GB2312" w:eastAsia="仿宋_GB2312" w:cs="仿宋_GB2312"/>
          <w:sz w:val="32"/>
          <w:szCs w:val="32"/>
          <w:highlight w:val="none"/>
          <w:lang w:val="en-US" w:eastAsia="zh-CN"/>
        </w:rPr>
        <w:t>陈某华经医院抢救无效死亡。</w:t>
      </w:r>
      <w:r>
        <w:rPr>
          <w:rFonts w:hint="eastAsia" w:ascii="仿宋_GB2312" w:hAnsi="仿宋_GB2312" w:eastAsia="仿宋_GB2312" w:cs="仿宋_GB2312"/>
          <w:sz w:val="32"/>
          <w:szCs w:val="32"/>
          <w:highlight w:val="none"/>
        </w:rPr>
        <w:t>202</w:t>
      </w: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lang w:val="en-US" w:eastAsia="zh-CN"/>
        </w:rPr>
        <w:t>13</w:t>
      </w:r>
      <w:r>
        <w:rPr>
          <w:rFonts w:hint="eastAsia" w:ascii="仿宋_GB2312" w:hAnsi="仿宋_GB2312" w:eastAsia="仿宋_GB2312" w:cs="仿宋_GB2312"/>
          <w:sz w:val="32"/>
          <w:szCs w:val="32"/>
          <w:highlight w:val="none"/>
        </w:rPr>
        <w:t>日，</w:t>
      </w:r>
      <w:r>
        <w:rPr>
          <w:rFonts w:hint="eastAsia" w:ascii="仿宋_GB2312" w:hAnsi="仿宋_GB2312" w:eastAsia="仿宋_GB2312" w:cs="仿宋_GB2312"/>
          <w:sz w:val="32"/>
          <w:szCs w:val="32"/>
          <w:highlight w:val="none"/>
          <w:lang w:val="en-US" w:eastAsia="zh-CN"/>
        </w:rPr>
        <w:t>劳务中介公司</w:t>
      </w:r>
      <w:r>
        <w:rPr>
          <w:rFonts w:hint="eastAsia" w:ascii="仿宋_GB2312" w:hAnsi="仿宋_GB2312" w:eastAsia="仿宋_GB2312" w:cs="仿宋_GB2312"/>
          <w:sz w:val="32"/>
          <w:szCs w:val="32"/>
          <w:highlight w:val="none"/>
        </w:rPr>
        <w:t>与死者家属签订了《</w:t>
      </w:r>
      <w:r>
        <w:rPr>
          <w:rFonts w:hint="eastAsia" w:ascii="仿宋_GB2312" w:hAnsi="仿宋_GB2312" w:eastAsia="仿宋_GB2312" w:cs="仿宋_GB2312"/>
          <w:sz w:val="32"/>
          <w:szCs w:val="32"/>
          <w:highlight w:val="none"/>
          <w:lang w:val="en-US" w:eastAsia="zh-CN"/>
        </w:rPr>
        <w:t>人民调解协议书</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和《谅解书》</w:t>
      </w:r>
      <w:r>
        <w:rPr>
          <w:rFonts w:hint="eastAsia" w:ascii="仿宋_GB2312" w:hAnsi="仿宋_GB2312" w:eastAsia="仿宋_GB2312" w:cs="仿宋_GB2312"/>
          <w:sz w:val="32"/>
          <w:szCs w:val="32"/>
          <w:highlight w:val="none"/>
        </w:rPr>
        <w:t>，善后工作已妥善处置。</w:t>
      </w:r>
    </w:p>
    <w:p w14:paraId="65B4E7EC">
      <w:pPr>
        <w:numPr>
          <w:ilvl w:val="0"/>
          <w:numId w:val="0"/>
        </w:numPr>
        <w:spacing w:line="560" w:lineRule="exact"/>
        <w:ind w:firstLine="640" w:firstLineChars="200"/>
        <w:outlineLvl w:val="0"/>
        <w:rPr>
          <w:rFonts w:ascii="黑体" w:hAnsi="黑体" w:eastAsia="黑体" w:cs="黑体"/>
          <w:sz w:val="32"/>
          <w:szCs w:val="32"/>
          <w:highlight w:val="none"/>
        </w:rPr>
      </w:pPr>
      <w:bookmarkStart w:id="7" w:name="_Toc27627"/>
      <w:r>
        <w:rPr>
          <w:rFonts w:hint="eastAsia" w:ascii="黑体" w:hAnsi="黑体" w:eastAsia="黑体" w:cs="黑体"/>
          <w:sz w:val="32"/>
          <w:szCs w:val="32"/>
          <w:highlight w:val="none"/>
          <w:lang w:eastAsia="zh-CN"/>
        </w:rPr>
        <w:t>三、</w:t>
      </w:r>
      <w:r>
        <w:rPr>
          <w:rFonts w:hint="eastAsia" w:ascii="黑体" w:hAnsi="黑体" w:eastAsia="黑体" w:cs="黑体"/>
          <w:sz w:val="32"/>
          <w:szCs w:val="32"/>
          <w:highlight w:val="none"/>
        </w:rPr>
        <w:t>事故原因分析</w:t>
      </w:r>
      <w:bookmarkEnd w:id="7"/>
    </w:p>
    <w:p w14:paraId="717FD10E">
      <w:pPr>
        <w:numPr>
          <w:ilvl w:val="0"/>
          <w:numId w:val="0"/>
        </w:numPr>
        <w:spacing w:line="560" w:lineRule="exact"/>
        <w:ind w:firstLine="643" w:firstLineChars="200"/>
        <w:rPr>
          <w:rFonts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lang w:eastAsia="zh-CN"/>
        </w:rPr>
        <w:t>（一）</w:t>
      </w:r>
      <w:r>
        <w:rPr>
          <w:rFonts w:hint="eastAsia" w:ascii="楷体_GB2312" w:hAnsi="楷体_GB2312" w:eastAsia="楷体_GB2312" w:cs="楷体_GB2312"/>
          <w:b/>
          <w:bCs/>
          <w:sz w:val="32"/>
          <w:szCs w:val="32"/>
          <w:highlight w:val="none"/>
        </w:rPr>
        <w:t>直接原因</w:t>
      </w:r>
    </w:p>
    <w:p w14:paraId="674E4B21">
      <w:pPr>
        <w:spacing w:line="56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工人</w:t>
      </w:r>
      <w:r>
        <w:rPr>
          <w:rFonts w:hint="eastAsia" w:ascii="仿宋_GB2312" w:hAnsi="宋体" w:eastAsia="仿宋_GB2312" w:cs="Times New Roman"/>
          <w:sz w:val="32"/>
          <w:szCs w:val="32"/>
          <w:highlight w:val="none"/>
          <w:lang w:val="en-US" w:eastAsia="zh-CN"/>
        </w:rPr>
        <w:t>在设备未停机的情况下</w:t>
      </w:r>
      <w:r>
        <w:rPr>
          <w:rFonts w:hint="eastAsia" w:ascii="仿宋_GB2312" w:hAnsi="仿宋_GB2312" w:eastAsia="仿宋_GB2312" w:cs="仿宋_GB2312"/>
          <w:sz w:val="32"/>
          <w:szCs w:val="32"/>
          <w:highlight w:val="none"/>
          <w:lang w:val="en-US" w:eastAsia="zh-CN"/>
        </w:rPr>
        <w:t>违章冒险进入吹塑机合模区域，导致被吹塑机模具</w:t>
      </w:r>
      <w:r>
        <w:rPr>
          <w:rFonts w:hint="eastAsia" w:ascii="仿宋_GB2312" w:hAnsi="宋体" w:eastAsia="仿宋_GB2312" w:cs="Times New Roman"/>
          <w:sz w:val="32"/>
          <w:szCs w:val="32"/>
          <w:highlight w:val="none"/>
          <w:lang w:val="en-US" w:eastAsia="zh-CN"/>
        </w:rPr>
        <w:t>挤压致死</w:t>
      </w:r>
      <w:r>
        <w:rPr>
          <w:rFonts w:hint="eastAsia" w:ascii="仿宋_GB2312" w:hAnsi="仿宋_GB2312" w:eastAsia="仿宋_GB2312" w:cs="仿宋_GB2312"/>
          <w:sz w:val="32"/>
          <w:szCs w:val="32"/>
          <w:highlight w:val="none"/>
          <w:lang w:val="en-US" w:eastAsia="zh-CN"/>
        </w:rPr>
        <w:t>。</w:t>
      </w:r>
    </w:p>
    <w:p w14:paraId="32E5B2D3">
      <w:pPr>
        <w:numPr>
          <w:ilvl w:val="0"/>
          <w:numId w:val="0"/>
        </w:numPr>
        <w:spacing w:line="560" w:lineRule="exact"/>
        <w:ind w:firstLine="643" w:firstLineChars="200"/>
        <w:rPr>
          <w:rFonts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lang w:eastAsia="zh-CN"/>
        </w:rPr>
        <w:t>（二）</w:t>
      </w:r>
      <w:r>
        <w:rPr>
          <w:rFonts w:hint="eastAsia" w:ascii="楷体_GB2312" w:hAnsi="楷体_GB2312" w:eastAsia="楷体_GB2312" w:cs="楷体_GB2312"/>
          <w:b/>
          <w:bCs/>
          <w:sz w:val="32"/>
          <w:szCs w:val="32"/>
          <w:highlight w:val="none"/>
        </w:rPr>
        <w:t>间接原因</w:t>
      </w:r>
    </w:p>
    <w:p w14:paraId="535E2FA1">
      <w:pPr>
        <w:numPr>
          <w:ilvl w:val="0"/>
          <w:numId w:val="0"/>
        </w:numPr>
        <w:spacing w:line="56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rPr>
        <w:t>金海威光公司</w:t>
      </w:r>
      <w:r>
        <w:rPr>
          <w:rFonts w:hint="eastAsia" w:ascii="仿宋_GB2312" w:hAnsi="仿宋_GB2312" w:eastAsia="仿宋_GB2312" w:cs="仿宋_GB2312"/>
          <w:sz w:val="32"/>
          <w:szCs w:val="32"/>
          <w:highlight w:val="none"/>
          <w:lang w:val="en-US" w:eastAsia="zh-CN"/>
        </w:rPr>
        <w:t>疏于生产现场安全管理工作，未及时发现并制止工人违章作业行为。</w:t>
      </w:r>
    </w:p>
    <w:p w14:paraId="46DDCFD7">
      <w:pPr>
        <w:numPr>
          <w:ilvl w:val="0"/>
          <w:numId w:val="0"/>
        </w:numPr>
        <w:spacing w:line="56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rPr>
        <w:t>金海威光公司</w:t>
      </w:r>
      <w:r>
        <w:rPr>
          <w:rFonts w:hint="eastAsia" w:ascii="仿宋_GB2312" w:hAnsi="仿宋_GB2312" w:eastAsia="仿宋_GB2312" w:cs="仿宋_GB2312"/>
          <w:sz w:val="32"/>
          <w:szCs w:val="32"/>
          <w:highlight w:val="none"/>
          <w:lang w:val="en-US" w:eastAsia="zh-CN"/>
        </w:rPr>
        <w:t>吹塑机光栅位置设置不当，对工人违章进入吹塑机未起到防范作用，未有效消除生产安全事故隐患</w:t>
      </w:r>
      <w:r>
        <w:rPr>
          <w:rFonts w:hint="eastAsia" w:ascii="仿宋_GB2312" w:hAnsi="仿宋_GB2312" w:eastAsia="仿宋_GB2312" w:cs="仿宋_GB2312"/>
          <w:sz w:val="32"/>
          <w:szCs w:val="32"/>
          <w:highlight w:val="none"/>
        </w:rPr>
        <w:t>。</w:t>
      </w:r>
    </w:p>
    <w:p w14:paraId="40197176">
      <w:pPr>
        <w:numPr>
          <w:ilvl w:val="0"/>
          <w:numId w:val="0"/>
        </w:numPr>
        <w:spacing w:line="560" w:lineRule="exact"/>
        <w:ind w:firstLine="640" w:firstLineChars="200"/>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rPr>
        <w:t>金海威光公司</w:t>
      </w:r>
      <w:r>
        <w:rPr>
          <w:rFonts w:hint="eastAsia" w:ascii="仿宋_GB2312" w:hAnsi="仿宋_GB2312" w:eastAsia="仿宋_GB2312" w:cs="仿宋_GB2312"/>
          <w:sz w:val="32"/>
          <w:szCs w:val="32"/>
          <w:highlight w:val="none"/>
          <w:lang w:val="en-US" w:eastAsia="zh-CN"/>
        </w:rPr>
        <w:t>吹塑机安全操作规程不完善，未明确工人拿取塑料件的安全作业要求。</w:t>
      </w:r>
    </w:p>
    <w:p w14:paraId="4C654217">
      <w:pPr>
        <w:numPr>
          <w:ilvl w:val="0"/>
          <w:numId w:val="0"/>
        </w:numPr>
        <w:spacing w:line="56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kern w:val="2"/>
          <w:sz w:val="32"/>
          <w:szCs w:val="32"/>
          <w:highlight w:val="none"/>
          <w:lang w:val="en-US" w:eastAsia="zh-CN" w:bidi="ar-SA"/>
        </w:rPr>
        <w:t>4.</w:t>
      </w:r>
      <w:r>
        <w:rPr>
          <w:rFonts w:hint="eastAsia" w:ascii="仿宋_GB2312" w:hAnsi="仿宋_GB2312" w:eastAsia="仿宋_GB2312" w:cs="仿宋_GB2312"/>
          <w:sz w:val="32"/>
          <w:szCs w:val="32"/>
          <w:highlight w:val="none"/>
        </w:rPr>
        <w:t>金海威光公司</w:t>
      </w:r>
      <w:r>
        <w:rPr>
          <w:rFonts w:hint="eastAsia" w:ascii="仿宋_GB2312" w:hAnsi="仿宋_GB2312" w:eastAsia="仿宋_GB2312" w:cs="仿宋_GB2312"/>
          <w:sz w:val="32"/>
          <w:szCs w:val="32"/>
          <w:highlight w:val="none"/>
          <w:lang w:val="en-US" w:eastAsia="zh-CN"/>
        </w:rPr>
        <w:t>未对劳务派遣作业人员进行安全教育培训，作业人员安全生产意识淡薄，不具备安全操作技能。</w:t>
      </w:r>
    </w:p>
    <w:p w14:paraId="0FF8CF81">
      <w:pPr>
        <w:numPr>
          <w:ilvl w:val="0"/>
          <w:numId w:val="0"/>
        </w:numPr>
        <w:spacing w:line="560" w:lineRule="exact"/>
        <w:ind w:firstLine="640" w:firstLineChars="200"/>
        <w:outlineLvl w:val="0"/>
        <w:rPr>
          <w:rFonts w:ascii="黑体" w:hAnsi="黑体" w:eastAsia="黑体" w:cs="黑体"/>
          <w:sz w:val="32"/>
          <w:szCs w:val="32"/>
          <w:highlight w:val="none"/>
        </w:rPr>
      </w:pPr>
      <w:r>
        <w:rPr>
          <w:rFonts w:hint="eastAsia" w:ascii="黑体" w:hAnsi="黑体" w:eastAsia="黑体" w:cs="黑体"/>
          <w:sz w:val="32"/>
          <w:szCs w:val="32"/>
          <w:highlight w:val="none"/>
          <w:lang w:val="en-US" w:eastAsia="zh-CN"/>
        </w:rPr>
        <w:t>四、监管履职情况</w:t>
      </w:r>
    </w:p>
    <w:p w14:paraId="77E56FE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黑体" w:hAnsi="黑体" w:eastAsia="仿宋_GB2312" w:cs="黑体"/>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高新区作为属地监管单位，负责</w:t>
      </w:r>
      <w:r>
        <w:rPr>
          <w:rFonts w:hint="eastAsia" w:ascii="仿宋_GB2312" w:hAnsi="仿宋_GB2312" w:eastAsia="仿宋_GB2312" w:cs="仿宋_GB2312"/>
          <w:sz w:val="32"/>
          <w:szCs w:val="32"/>
          <w:highlight w:val="none"/>
        </w:rPr>
        <w:t>苏州金海威光塑胶有限公司</w:t>
      </w:r>
      <w:r>
        <w:rPr>
          <w:rFonts w:hint="eastAsia" w:ascii="仿宋_GB2312" w:hAnsi="仿宋_GB2312" w:eastAsia="仿宋_GB2312" w:cs="仿宋_GB2312"/>
          <w:sz w:val="32"/>
          <w:szCs w:val="32"/>
          <w:highlight w:val="none"/>
          <w:lang w:val="en-US" w:eastAsia="zh-CN"/>
        </w:rPr>
        <w:t>日常安全监督管理工作。2025年1月16日，高新区与</w:t>
      </w:r>
      <w:r>
        <w:rPr>
          <w:rFonts w:hint="eastAsia" w:ascii="仿宋_GB2312" w:hAnsi="仿宋_GB2312" w:eastAsia="仿宋_GB2312" w:cs="仿宋_GB2312"/>
          <w:sz w:val="32"/>
          <w:szCs w:val="32"/>
          <w:highlight w:val="none"/>
        </w:rPr>
        <w:t>苏州金海威光塑胶有限公司</w:t>
      </w:r>
      <w:r>
        <w:rPr>
          <w:rFonts w:hint="eastAsia" w:ascii="仿宋_GB2312" w:hAnsi="仿宋_GB2312" w:eastAsia="仿宋_GB2312" w:cs="仿宋_GB2312"/>
          <w:sz w:val="32"/>
          <w:szCs w:val="32"/>
          <w:highlight w:val="none"/>
          <w:lang w:val="en-US" w:eastAsia="zh-CN"/>
        </w:rPr>
        <w:t>签订《安全生产（消防）、职业卫生目标管理责任状》。2025年2月16日，高新区与</w:t>
      </w:r>
      <w:r>
        <w:rPr>
          <w:rFonts w:hint="eastAsia" w:ascii="仿宋_GB2312" w:hAnsi="仿宋_GB2312" w:eastAsia="仿宋_GB2312" w:cs="仿宋_GB2312"/>
          <w:sz w:val="32"/>
          <w:szCs w:val="32"/>
          <w:highlight w:val="none"/>
        </w:rPr>
        <w:t>苏州金海威光塑胶有限公司</w:t>
      </w:r>
      <w:r>
        <w:rPr>
          <w:rFonts w:hint="eastAsia" w:ascii="仿宋_GB2312" w:hAnsi="仿宋_GB2312" w:eastAsia="仿宋_GB2312" w:cs="仿宋_GB2312"/>
          <w:sz w:val="32"/>
          <w:szCs w:val="32"/>
          <w:highlight w:val="none"/>
          <w:lang w:val="en-US" w:eastAsia="zh-CN"/>
        </w:rPr>
        <w:t>签订《常熟市工业生产型企业安全生产承诺书》。2024年年底至2025年5月共对该公司进行2次安全检查，共发现6条隐患,已整改完成6条并通过复查。</w:t>
      </w:r>
    </w:p>
    <w:p w14:paraId="226A297D">
      <w:pPr>
        <w:numPr>
          <w:ilvl w:val="0"/>
          <w:numId w:val="0"/>
        </w:numPr>
        <w:spacing w:line="560" w:lineRule="exact"/>
        <w:ind w:firstLine="640" w:firstLineChars="200"/>
        <w:outlineLvl w:val="0"/>
        <w:rPr>
          <w:rFonts w:ascii="黑体" w:hAnsi="黑体" w:eastAsia="黑体" w:cs="黑体"/>
          <w:sz w:val="32"/>
          <w:szCs w:val="32"/>
          <w:highlight w:val="none"/>
        </w:rPr>
      </w:pPr>
      <w:r>
        <w:rPr>
          <w:rFonts w:hint="eastAsia" w:ascii="黑体" w:hAnsi="黑体" w:eastAsia="黑体" w:cs="黑体"/>
          <w:sz w:val="32"/>
          <w:szCs w:val="32"/>
          <w:highlight w:val="none"/>
          <w:lang w:eastAsia="zh-CN"/>
        </w:rPr>
        <w:t>五、</w:t>
      </w:r>
      <w:r>
        <w:rPr>
          <w:rFonts w:hint="eastAsia" w:ascii="黑体" w:hAnsi="黑体" w:eastAsia="黑体" w:cs="黑体"/>
          <w:sz w:val="32"/>
          <w:szCs w:val="32"/>
          <w:highlight w:val="none"/>
        </w:rPr>
        <w:t>对有关责任人员和责任单位的处理建议</w:t>
      </w:r>
    </w:p>
    <w:p w14:paraId="24B13344">
      <w:pPr>
        <w:numPr>
          <w:ilvl w:val="0"/>
          <w:numId w:val="0"/>
        </w:numPr>
        <w:spacing w:line="560" w:lineRule="exact"/>
        <w:ind w:firstLine="643" w:firstLineChars="200"/>
        <w:outlineLvl w:val="0"/>
        <w:rPr>
          <w:rFonts w:hint="default" w:ascii="楷体_GB2312" w:hAnsi="楷体_GB2312" w:eastAsia="楷体_GB2312" w:cs="楷体_GB2312"/>
          <w:b/>
          <w:bCs/>
          <w:sz w:val="32"/>
          <w:szCs w:val="32"/>
          <w:highlight w:val="none"/>
          <w:lang w:val="en-US" w:eastAsia="zh-CN"/>
        </w:rPr>
      </w:pPr>
      <w:bookmarkStart w:id="8" w:name="_Toc9060"/>
      <w:r>
        <w:rPr>
          <w:rFonts w:hint="eastAsia" w:ascii="楷体_GB2312" w:hAnsi="楷体_GB2312" w:eastAsia="楷体_GB2312" w:cs="楷体_GB2312"/>
          <w:b/>
          <w:bCs/>
          <w:sz w:val="32"/>
          <w:szCs w:val="32"/>
          <w:highlight w:val="none"/>
          <w:lang w:eastAsia="zh-CN"/>
        </w:rPr>
        <w:t>（一）</w:t>
      </w:r>
      <w:r>
        <w:rPr>
          <w:rFonts w:hint="eastAsia" w:ascii="楷体_GB2312" w:hAnsi="楷体_GB2312" w:eastAsia="楷体_GB2312" w:cs="楷体_GB2312"/>
          <w:b/>
          <w:bCs/>
          <w:sz w:val="32"/>
          <w:szCs w:val="32"/>
          <w:highlight w:val="none"/>
        </w:rPr>
        <w:t>对有关责任人员的处理建议</w:t>
      </w:r>
      <w:bookmarkEnd w:id="8"/>
    </w:p>
    <w:p w14:paraId="30ABBA1B">
      <w:pPr>
        <w:spacing w:line="560" w:lineRule="exact"/>
        <w:ind w:firstLine="640" w:firstLineChars="200"/>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sz w:val="32"/>
          <w:szCs w:val="32"/>
          <w:highlight w:val="none"/>
          <w:lang w:val="en-US" w:eastAsia="zh-CN"/>
        </w:rPr>
        <w:t>陈某华</w:t>
      </w:r>
      <w:r>
        <w:rPr>
          <w:rFonts w:hint="eastAsia" w:ascii="仿宋_GB2312" w:hAnsi="仿宋_GB2312" w:eastAsia="仿宋_GB2312" w:cs="仿宋_GB2312"/>
          <w:sz w:val="32"/>
          <w:szCs w:val="32"/>
          <w:highlight w:val="none"/>
          <w:u w:val="none"/>
        </w:rPr>
        <w:t>，</w:t>
      </w:r>
      <w:r>
        <w:rPr>
          <w:rFonts w:hint="eastAsia" w:ascii="仿宋_GB2312" w:hAnsi="仿宋_GB2312" w:eastAsia="仿宋_GB2312" w:cs="仿宋_GB2312"/>
          <w:sz w:val="32"/>
          <w:szCs w:val="32"/>
          <w:highlight w:val="none"/>
          <w:u w:val="none"/>
          <w:lang w:val="en-US" w:eastAsia="zh-CN"/>
        </w:rPr>
        <w:t>男</w:t>
      </w:r>
      <w:r>
        <w:rPr>
          <w:rFonts w:hint="eastAsia" w:ascii="仿宋_GB2312" w:hAnsi="仿宋_GB2312" w:eastAsia="仿宋_GB2312" w:cs="仿宋_GB2312"/>
          <w:sz w:val="32"/>
          <w:szCs w:val="32"/>
          <w:highlight w:val="none"/>
          <w:u w:val="none"/>
        </w:rPr>
        <w:t>，</w:t>
      </w:r>
      <w:r>
        <w:rPr>
          <w:rFonts w:hint="eastAsia" w:ascii="仿宋_GB2312" w:hAnsi="仿宋_GB2312" w:eastAsia="仿宋_GB2312" w:cs="仿宋_GB2312"/>
          <w:sz w:val="32"/>
          <w:szCs w:val="32"/>
          <w:highlight w:val="none"/>
          <w:u w:val="none"/>
          <w:lang w:val="en-US" w:eastAsia="zh-CN"/>
        </w:rPr>
        <w:t>51</w:t>
      </w:r>
      <w:r>
        <w:rPr>
          <w:rFonts w:hint="eastAsia" w:ascii="仿宋_GB2312" w:hAnsi="仿宋_GB2312" w:eastAsia="仿宋_GB2312" w:cs="仿宋_GB2312"/>
          <w:sz w:val="32"/>
          <w:szCs w:val="32"/>
          <w:highlight w:val="none"/>
          <w:u w:val="none"/>
        </w:rPr>
        <w:t>岁</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rPr>
        <w:t>苏州金海威光塑胶有限公司</w:t>
      </w:r>
      <w:r>
        <w:rPr>
          <w:rFonts w:hint="eastAsia" w:ascii="仿宋_GB2312" w:hAnsi="仿宋_GB2312" w:eastAsia="仿宋_GB2312" w:cs="仿宋_GB2312"/>
          <w:sz w:val="32"/>
          <w:szCs w:val="32"/>
          <w:highlight w:val="none"/>
          <w:lang w:val="en-US" w:eastAsia="zh-CN"/>
        </w:rPr>
        <w:t>吹塑机操作工，在吹塑机运行过程中违章冒险进入吹塑机合模区域，导致发生生产安全事故，因在事故中死亡，不予追究责任。</w:t>
      </w:r>
    </w:p>
    <w:p w14:paraId="14D474E7">
      <w:pPr>
        <w:spacing w:line="560" w:lineRule="exact"/>
        <w:ind w:firstLine="640" w:firstLineChars="200"/>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sz w:val="32"/>
          <w:szCs w:val="32"/>
          <w:highlight w:val="none"/>
          <w:lang w:val="en-US" w:eastAsia="zh-CN"/>
        </w:rPr>
        <w:t>金某</w:t>
      </w:r>
      <w:r>
        <w:rPr>
          <w:rFonts w:hint="eastAsia" w:ascii="仿宋_GB2312" w:hAnsi="仿宋_GB2312" w:eastAsia="仿宋_GB2312" w:cs="仿宋_GB2312"/>
          <w:color w:val="auto"/>
          <w:sz w:val="32"/>
          <w:szCs w:val="32"/>
          <w:highlight w:val="none"/>
          <w:lang w:val="en-US" w:eastAsia="zh-CN"/>
        </w:rPr>
        <w:t>，女，32岁，</w:t>
      </w:r>
      <w:r>
        <w:rPr>
          <w:rFonts w:hint="eastAsia" w:ascii="仿宋_GB2312" w:hAnsi="仿宋_GB2312" w:eastAsia="仿宋_GB2312" w:cs="仿宋_GB2312"/>
          <w:sz w:val="32"/>
          <w:szCs w:val="32"/>
          <w:highlight w:val="none"/>
        </w:rPr>
        <w:t>苏州金海威光塑胶有限公司</w:t>
      </w:r>
      <w:r>
        <w:rPr>
          <w:rFonts w:hint="eastAsia" w:ascii="仿宋_GB2312" w:hAnsi="仿宋_GB2312" w:eastAsia="仿宋_GB2312" w:cs="仿宋_GB2312"/>
          <w:sz w:val="32"/>
          <w:szCs w:val="32"/>
          <w:highlight w:val="none"/>
          <w:lang w:val="en-US" w:eastAsia="zh-CN"/>
        </w:rPr>
        <w:t>总经理，未对劳务派遣作业人员进行安全教育培训，未及时消除吹塑作业过程中存在的生产安全事故隐患</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color w:val="auto"/>
          <w:sz w:val="32"/>
          <w:szCs w:val="32"/>
          <w:highlight w:val="none"/>
        </w:rPr>
        <w:t>导致发生生产安全事故</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sz w:val="32"/>
          <w:szCs w:val="32"/>
          <w:highlight w:val="none"/>
        </w:rPr>
        <w:t>建议由常熟市应急管理局依据《中华人民共和国安全生产法》第九十</w:t>
      </w:r>
      <w:r>
        <w:rPr>
          <w:rFonts w:hint="eastAsia" w:ascii="仿宋_GB2312" w:hAnsi="仿宋_GB2312" w:eastAsia="仿宋_GB2312" w:cs="仿宋_GB2312"/>
          <w:sz w:val="32"/>
          <w:szCs w:val="32"/>
          <w:highlight w:val="none"/>
          <w:lang w:val="en-US" w:eastAsia="zh-CN"/>
        </w:rPr>
        <w:t>五</w:t>
      </w:r>
      <w:r>
        <w:rPr>
          <w:rFonts w:hint="eastAsia" w:ascii="仿宋_GB2312" w:hAnsi="仿宋_GB2312" w:eastAsia="仿宋_GB2312" w:cs="仿宋_GB2312"/>
          <w:sz w:val="32"/>
          <w:szCs w:val="32"/>
          <w:highlight w:val="none"/>
        </w:rPr>
        <w:t>条</w:t>
      </w:r>
      <w:r>
        <w:rPr>
          <w:rStyle w:val="14"/>
          <w:rFonts w:hint="eastAsia" w:ascii="仿宋_GB2312" w:hAnsi="仿宋_GB2312" w:eastAsia="仿宋_GB2312" w:cs="仿宋_GB2312"/>
          <w:sz w:val="32"/>
          <w:szCs w:val="32"/>
          <w:highlight w:val="none"/>
        </w:rPr>
        <w:t>[</w:t>
      </w:r>
      <w:r>
        <w:rPr>
          <w:rStyle w:val="14"/>
          <w:rFonts w:hint="eastAsia" w:ascii="仿宋_GB2312" w:hAnsi="仿宋_GB2312" w:eastAsia="仿宋_GB2312" w:cs="仿宋_GB2312"/>
          <w:sz w:val="32"/>
          <w:szCs w:val="32"/>
          <w:highlight w:val="none"/>
        </w:rPr>
        <w:footnoteReference w:id="4"/>
      </w:r>
      <w:r>
        <w:rPr>
          <w:rStyle w:val="14"/>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rPr>
        <w:t>规定对其作出行政处罚。</w:t>
      </w:r>
    </w:p>
    <w:p w14:paraId="0108E92D">
      <w:pPr>
        <w:numPr>
          <w:ilvl w:val="0"/>
          <w:numId w:val="0"/>
        </w:numPr>
        <w:spacing w:line="560" w:lineRule="exact"/>
        <w:ind w:firstLine="643" w:firstLineChars="200"/>
        <w:outlineLvl w:val="0"/>
        <w:rPr>
          <w:rFonts w:ascii="楷体_GB2312" w:hAnsi="楷体_GB2312" w:eastAsia="楷体_GB2312" w:cs="楷体_GB2312"/>
          <w:b/>
          <w:bCs/>
          <w:sz w:val="32"/>
          <w:szCs w:val="32"/>
          <w:highlight w:val="none"/>
        </w:rPr>
      </w:pPr>
      <w:bookmarkStart w:id="9" w:name="_Toc17415"/>
      <w:r>
        <w:rPr>
          <w:rFonts w:hint="eastAsia" w:ascii="楷体_GB2312" w:hAnsi="楷体_GB2312" w:eastAsia="楷体_GB2312" w:cs="楷体_GB2312"/>
          <w:b/>
          <w:bCs/>
          <w:sz w:val="32"/>
          <w:szCs w:val="32"/>
          <w:highlight w:val="none"/>
          <w:lang w:eastAsia="zh-CN"/>
        </w:rPr>
        <w:t>（二）</w:t>
      </w:r>
      <w:r>
        <w:rPr>
          <w:rFonts w:hint="eastAsia" w:ascii="楷体_GB2312" w:hAnsi="楷体_GB2312" w:eastAsia="楷体_GB2312" w:cs="楷体_GB2312"/>
          <w:b/>
          <w:bCs/>
          <w:sz w:val="32"/>
          <w:szCs w:val="32"/>
          <w:highlight w:val="none"/>
        </w:rPr>
        <w:t>对有关责任单位的处理建议</w:t>
      </w:r>
      <w:bookmarkEnd w:id="9"/>
    </w:p>
    <w:p w14:paraId="075C644E">
      <w:pPr>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苏州金海威光塑胶有限公司疏于作业现场安全管理，</w:t>
      </w:r>
      <w:r>
        <w:rPr>
          <w:rFonts w:hint="eastAsia" w:ascii="仿宋_GB2312" w:hAnsi="仿宋_GB2312" w:eastAsia="仿宋_GB2312" w:cs="仿宋_GB2312"/>
          <w:sz w:val="32"/>
          <w:szCs w:val="32"/>
          <w:highlight w:val="none"/>
          <w:lang w:val="en-US" w:eastAsia="zh-CN"/>
        </w:rPr>
        <w:t>吹塑机光栅位置设置不当，对工人违章进入吹塑机未起到防范作用，未有效消除生产安全事故隐患</w:t>
      </w:r>
      <w:r>
        <w:rPr>
          <w:rFonts w:hint="eastAsia" w:ascii="仿宋_GB2312" w:hAnsi="仿宋_GB2312" w:eastAsia="仿宋_GB2312" w:cs="仿宋_GB2312"/>
          <w:sz w:val="32"/>
          <w:szCs w:val="32"/>
          <w:highlight w:val="none"/>
          <w:u w:val="none"/>
          <w:lang w:val="en-US" w:eastAsia="zh-CN"/>
        </w:rPr>
        <w:t>，未对</w:t>
      </w:r>
      <w:r>
        <w:rPr>
          <w:rFonts w:hint="eastAsia" w:ascii="仿宋_GB2312" w:hAnsi="仿宋_GB2312" w:eastAsia="仿宋_GB2312" w:cs="仿宋_GB2312"/>
          <w:sz w:val="32"/>
          <w:szCs w:val="32"/>
          <w:highlight w:val="none"/>
          <w:lang w:val="en-US" w:eastAsia="zh-CN"/>
        </w:rPr>
        <w:t>劳务派遣作业人员进行安全教育培训</w:t>
      </w:r>
      <w:r>
        <w:rPr>
          <w:rFonts w:hint="eastAsia" w:ascii="仿宋_GB2312" w:hAnsi="仿宋_GB2312" w:eastAsia="仿宋_GB2312" w:cs="仿宋_GB2312"/>
          <w:sz w:val="32"/>
          <w:szCs w:val="32"/>
          <w:highlight w:val="none"/>
        </w:rPr>
        <w:t>，对事故的发生负有责任，建议由常熟市应急管理局依据《中华人民共和国安全生产法》第一百一十四条</w:t>
      </w:r>
      <w:r>
        <w:rPr>
          <w:rStyle w:val="14"/>
          <w:rFonts w:hint="eastAsia" w:ascii="仿宋_GB2312" w:hAnsi="仿宋_GB2312" w:eastAsia="仿宋_GB2312" w:cs="仿宋_GB2312"/>
          <w:sz w:val="32"/>
          <w:szCs w:val="32"/>
          <w:highlight w:val="none"/>
        </w:rPr>
        <w:t>[</w:t>
      </w:r>
      <w:r>
        <w:rPr>
          <w:rStyle w:val="14"/>
          <w:rFonts w:hint="eastAsia" w:ascii="仿宋_GB2312" w:hAnsi="仿宋_GB2312" w:eastAsia="仿宋_GB2312" w:cs="仿宋_GB2312"/>
          <w:sz w:val="32"/>
          <w:szCs w:val="32"/>
          <w:highlight w:val="none"/>
        </w:rPr>
        <w:footnoteReference w:id="5"/>
      </w:r>
      <w:r>
        <w:rPr>
          <w:rStyle w:val="14"/>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rPr>
        <w:t>规定对其作出行政处罚。</w:t>
      </w:r>
    </w:p>
    <w:p w14:paraId="2DFB2636">
      <w:pPr>
        <w:numPr>
          <w:ilvl w:val="0"/>
          <w:numId w:val="0"/>
        </w:numPr>
        <w:spacing w:line="560" w:lineRule="exact"/>
        <w:ind w:firstLine="640" w:firstLineChars="200"/>
        <w:outlineLvl w:val="0"/>
        <w:rPr>
          <w:rFonts w:ascii="黑体" w:hAnsi="黑体" w:eastAsia="黑体" w:cs="黑体"/>
          <w:sz w:val="32"/>
          <w:szCs w:val="32"/>
          <w:highlight w:val="none"/>
        </w:rPr>
      </w:pPr>
      <w:bookmarkStart w:id="10" w:name="_Toc8819"/>
      <w:r>
        <w:rPr>
          <w:rFonts w:hint="eastAsia" w:ascii="黑体" w:hAnsi="黑体" w:eastAsia="黑体" w:cs="黑体"/>
          <w:sz w:val="32"/>
          <w:szCs w:val="32"/>
          <w:highlight w:val="none"/>
          <w:lang w:eastAsia="zh-CN"/>
        </w:rPr>
        <w:t>六、</w:t>
      </w:r>
      <w:r>
        <w:rPr>
          <w:rFonts w:hint="eastAsia" w:ascii="黑体" w:hAnsi="黑体" w:eastAsia="黑体" w:cs="黑体"/>
          <w:sz w:val="32"/>
          <w:szCs w:val="32"/>
          <w:highlight w:val="none"/>
        </w:rPr>
        <w:t>事故主要教训和事故防范、整改措施建议</w:t>
      </w:r>
      <w:bookmarkEnd w:id="10"/>
    </w:p>
    <w:p w14:paraId="00E7094F">
      <w:pPr>
        <w:spacing w:line="56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1.苏州金海威光塑胶有限公司</w:t>
      </w:r>
      <w:r>
        <w:rPr>
          <w:rFonts w:hint="eastAsia" w:ascii="仿宋_GB2312" w:hAnsi="仿宋_GB2312" w:eastAsia="仿宋_GB2312" w:cs="仿宋_GB2312"/>
          <w:sz w:val="32"/>
          <w:szCs w:val="32"/>
          <w:highlight w:val="none"/>
          <w:lang w:val="en-US" w:eastAsia="zh-CN"/>
        </w:rPr>
        <w:t>要深刻吸取事故教训，严格落实企业安全生产主体责任，制定完善吹塑机安全操作规程，制止工人违章作业行为；要将劳务派遣工人纳入公司安全管理，加强安全教育培训，提升工人安全意识；要加强</w:t>
      </w:r>
      <w:r>
        <w:rPr>
          <w:rFonts w:hint="eastAsia" w:ascii="仿宋_GB2312" w:hAnsi="仿宋_GB2312" w:eastAsia="仿宋_GB2312" w:cs="仿宋_GB2312"/>
          <w:sz w:val="32"/>
          <w:szCs w:val="32"/>
          <w:highlight w:val="none"/>
        </w:rPr>
        <w:t>作业现场安全管理</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提升设备本质化安全水平。</w:t>
      </w:r>
    </w:p>
    <w:p w14:paraId="673B8415">
      <w:pPr>
        <w:spacing w:line="560" w:lineRule="exact"/>
        <w:ind w:firstLine="640" w:firstLineChars="200"/>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2.</w:t>
      </w:r>
      <w:r>
        <w:rPr>
          <w:rFonts w:hint="eastAsia" w:ascii="仿宋_GB2312" w:hAnsi="仿宋_GB2312" w:eastAsia="仿宋_GB2312" w:cs="仿宋_GB2312"/>
          <w:sz w:val="32"/>
          <w:szCs w:val="32"/>
          <w:highlight w:val="none"/>
          <w:u w:val="none"/>
          <w:lang w:val="en-US" w:eastAsia="zh-CN"/>
        </w:rPr>
        <w:t>高新区</w:t>
      </w:r>
      <w:r>
        <w:rPr>
          <w:rFonts w:hint="eastAsia" w:ascii="仿宋_GB2312" w:hAnsi="仿宋_GB2312" w:eastAsia="仿宋_GB2312" w:cs="仿宋_GB2312"/>
          <w:sz w:val="32"/>
          <w:szCs w:val="32"/>
          <w:highlight w:val="none"/>
          <w:lang w:val="en-US" w:eastAsia="zh-CN"/>
        </w:rPr>
        <w:t>要</w:t>
      </w:r>
      <w:r>
        <w:rPr>
          <w:rFonts w:hint="eastAsia" w:ascii="仿宋_GB2312" w:hAnsi="仿宋_GB2312" w:eastAsia="仿宋_GB2312" w:cs="仿宋_GB2312"/>
          <w:sz w:val="32"/>
          <w:szCs w:val="32"/>
          <w:highlight w:val="none"/>
        </w:rPr>
        <w:t>认真吸取事故教训</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color w:val="auto"/>
          <w:sz w:val="32"/>
          <w:szCs w:val="32"/>
          <w:highlight w:val="none"/>
          <w:lang w:val="en-US" w:eastAsia="zh-CN"/>
        </w:rPr>
        <w:t>强化对辖区同类型企业的警示宣传，加大监督检查力度，对辖区塑料制品企业进行全面排查，严格查处涉及安全设备相关违法</w:t>
      </w:r>
      <w:bookmarkStart w:id="11" w:name="_GoBack"/>
      <w:bookmarkEnd w:id="11"/>
      <w:r>
        <w:rPr>
          <w:rFonts w:hint="eastAsia" w:ascii="仿宋_GB2312" w:hAnsi="仿宋_GB2312" w:eastAsia="仿宋_GB2312" w:cs="仿宋_GB2312"/>
          <w:color w:val="auto"/>
          <w:sz w:val="32"/>
          <w:szCs w:val="32"/>
          <w:highlight w:val="none"/>
          <w:lang w:val="en-US" w:eastAsia="zh-CN"/>
        </w:rPr>
        <w:t>行为，杜绝同类事故再次发生</w:t>
      </w:r>
      <w:r>
        <w:rPr>
          <w:rFonts w:hint="eastAsia" w:ascii="仿宋_GB2312" w:hAnsi="仿宋_GB2312" w:eastAsia="仿宋_GB2312" w:cs="仿宋_GB2312"/>
          <w:sz w:val="32"/>
          <w:szCs w:val="32"/>
          <w:highlight w:val="none"/>
          <w:lang w:val="en-US" w:eastAsia="zh-CN"/>
        </w:rPr>
        <w:t>。</w:t>
      </w:r>
    </w:p>
    <w:sectPr>
      <w:footerReference r:id="rId5" w:type="default"/>
      <w:pgSz w:w="11906" w:h="16838"/>
      <w:pgMar w:top="2098" w:right="1474" w:bottom="1984" w:left="1587" w:header="851" w:footer="1417" w:gutter="0"/>
      <w:pgBorders>
        <w:top w:val="none" w:sz="0" w:space="0"/>
        <w:left w:val="none" w:sz="0" w:space="0"/>
        <w:bottom w:val="none" w:sz="0" w:space="0"/>
        <w:right w:val="none" w:sz="0" w:space="0"/>
      </w:pgBorders>
      <w:pgNumType w:fmt="numberInDash"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590DF4A-3317-495F-A4C2-0F154DAE69D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BADCEE99-223F-489F-BC8E-729D61355EAD}"/>
  </w:font>
  <w:font w:name="方正小标宋简体">
    <w:panose1 w:val="02010600010101010101"/>
    <w:charset w:val="86"/>
    <w:family w:val="script"/>
    <w:pitch w:val="default"/>
    <w:sig w:usb0="00000001" w:usb1="080E0000" w:usb2="00000000" w:usb3="00000000" w:csb0="00040000" w:csb1="00000000"/>
    <w:embedRegular r:id="rId3" w:fontKey="{BFBB58B7-72CF-4CAC-ADDC-9AE2812D569A}"/>
  </w:font>
  <w:font w:name="仿宋_GB2312">
    <w:altName w:val="仿宋"/>
    <w:panose1 w:val="02010609030101010101"/>
    <w:charset w:val="86"/>
    <w:family w:val="modern"/>
    <w:pitch w:val="default"/>
    <w:sig w:usb0="00000000" w:usb1="00000000" w:usb2="00000000" w:usb3="00000000" w:csb0="00040000" w:csb1="00000000"/>
    <w:embedRegular r:id="rId4" w:fontKey="{B80A0D7A-72F8-42E8-A271-A3455DFA7B74}"/>
  </w:font>
  <w:font w:name="楷体_GB2312">
    <w:altName w:val="楷体"/>
    <w:panose1 w:val="02010609030101010101"/>
    <w:charset w:val="86"/>
    <w:family w:val="auto"/>
    <w:pitch w:val="default"/>
    <w:sig w:usb0="00000000" w:usb1="00000000" w:usb2="00000000" w:usb3="00000000" w:csb0="00040000" w:csb1="00000000"/>
    <w:embedRegular r:id="rId5" w:fontKey="{6769FF9B-A3C7-43BC-96D7-FE8518F5323C}"/>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9EED16">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CAFB51">
    <w:pPr>
      <w:pStyle w:val="3"/>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DF51246">
                          <w:pPr>
                            <w:pStyle w:val="3"/>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14</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p w14:paraId="3DF51246">
                    <w:pPr>
                      <w:pStyle w:val="3"/>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14</w:t>
                    </w:r>
                    <w:r>
                      <w:rPr>
                        <w:rFonts w:hint="eastAsia" w:ascii="宋体" w:hAnsi="宋体" w:eastAsia="宋体" w:cs="宋体"/>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2">
    <w:p>
      <w:r>
        <w:separator/>
      </w:r>
    </w:p>
  </w:footnote>
  <w:footnote w:type="continuationSeparator" w:id="13">
    <w:p>
      <w:r>
        <w:continuationSeparator/>
      </w:r>
    </w:p>
  </w:footnote>
  <w:footnote w:id="0">
    <w:p w14:paraId="0D3FB541">
      <w:pPr>
        <w:pStyle w:val="6"/>
        <w:keepNext w:val="0"/>
        <w:keepLines w:val="0"/>
        <w:pageBreakBefore w:val="0"/>
        <w:widowControl w:val="0"/>
        <w:kinsoku/>
        <w:wordWrap/>
        <w:overflowPunct/>
        <w:topLinePunct w:val="0"/>
        <w:bidi w:val="0"/>
        <w:adjustRightInd/>
        <w:snapToGrid w:val="0"/>
        <w:textAlignment w:val="auto"/>
        <w:rPr>
          <w:rFonts w:hint="eastAsia" w:ascii="宋体" w:hAnsi="宋体" w:eastAsia="宋体" w:cs="宋体"/>
          <w:sz w:val="18"/>
          <w:szCs w:val="18"/>
        </w:rPr>
      </w:pPr>
      <w:r>
        <w:rPr>
          <w:rStyle w:val="14"/>
          <w:rFonts w:hint="eastAsia" w:ascii="宋体" w:hAnsi="宋体" w:eastAsia="宋体" w:cs="宋体"/>
          <w:sz w:val="18"/>
          <w:szCs w:val="18"/>
        </w:rPr>
        <w:t>[</w:t>
      </w:r>
      <w:r>
        <w:rPr>
          <w:rStyle w:val="14"/>
          <w:rFonts w:hint="eastAsia" w:ascii="宋体" w:hAnsi="宋体" w:eastAsia="宋体" w:cs="宋体"/>
          <w:sz w:val="18"/>
          <w:szCs w:val="18"/>
        </w:rPr>
        <w:footnoteRef/>
      </w:r>
      <w:r>
        <w:rPr>
          <w:rStyle w:val="14"/>
          <w:rFonts w:hint="eastAsia" w:ascii="宋体" w:hAnsi="宋体" w:eastAsia="宋体" w:cs="宋体"/>
          <w:sz w:val="18"/>
          <w:szCs w:val="18"/>
        </w:rPr>
        <w:t>]</w:t>
      </w:r>
      <w:r>
        <w:rPr>
          <w:rFonts w:hint="eastAsia" w:ascii="宋体" w:hAnsi="宋体" w:eastAsia="宋体" w:cs="宋体"/>
          <w:sz w:val="18"/>
          <w:szCs w:val="18"/>
          <w:lang w:val="en-US" w:eastAsia="zh-CN"/>
        </w:rPr>
        <w:t xml:space="preserve"> 《</w:t>
      </w:r>
      <w:r>
        <w:rPr>
          <w:rFonts w:hint="eastAsia" w:ascii="宋体" w:hAnsi="宋体" w:eastAsia="宋体" w:cs="宋体"/>
          <w:sz w:val="18"/>
          <w:szCs w:val="18"/>
        </w:rPr>
        <w:t>生产安全事故报告和调查处理条例》</w:t>
      </w:r>
      <w:r>
        <w:rPr>
          <w:rFonts w:hint="eastAsia" w:ascii="宋体" w:hAnsi="宋体" w:eastAsia="宋体" w:cs="宋体"/>
          <w:color w:val="333333"/>
          <w:sz w:val="18"/>
          <w:szCs w:val="18"/>
          <w:shd w:val="clear" w:color="auto" w:fill="FFFFFF"/>
        </w:rPr>
        <w:t>第十九条：“特别重大事故由国务院或者国务院授权有关部门组织事故调查组进行调查。重大事故、较大事故、一般事故分别由事故发生地省级人民政府、设区的市级人民政府、县级人民政府负责调查。省级人民政府、设区的市级人民政府、县级人民政府可以直接组织事故调查组进行调查，也可以授权或者委托有关部门组织事故调查组进行调查。未造成人员伤亡的一般事故，县级人民政府也可以委托事故发生单位组织事故调查组进行调查。”</w:t>
      </w:r>
    </w:p>
  </w:footnote>
  <w:footnote w:id="1">
    <w:p w14:paraId="369A5355">
      <w:pPr>
        <w:pStyle w:val="6"/>
        <w:snapToGrid w:val="0"/>
        <w:rPr>
          <w:rFonts w:hint="eastAsia" w:ascii="宋体" w:hAnsi="宋体" w:eastAsia="宋体" w:cs="宋体"/>
          <w:color w:val="333333"/>
          <w:szCs w:val="18"/>
          <w:shd w:val="clear" w:color="auto" w:fill="FFFFFF"/>
        </w:rPr>
      </w:pPr>
      <w:r>
        <w:rPr>
          <w:rStyle w:val="14"/>
          <w:rFonts w:hint="eastAsia" w:ascii="宋体" w:hAnsi="宋体" w:eastAsia="宋体" w:cs="宋体"/>
        </w:rPr>
        <w:t>[</w:t>
      </w:r>
      <w:r>
        <w:rPr>
          <w:rStyle w:val="14"/>
          <w:rFonts w:hint="eastAsia" w:ascii="宋体" w:hAnsi="宋体" w:eastAsia="宋体" w:cs="宋体"/>
        </w:rPr>
        <w:footnoteRef/>
      </w:r>
      <w:r>
        <w:rPr>
          <w:rStyle w:val="14"/>
          <w:rFonts w:hint="eastAsia" w:ascii="宋体" w:hAnsi="宋体" w:eastAsia="宋体" w:cs="宋体"/>
        </w:rPr>
        <w:t>]</w:t>
      </w:r>
      <w:r>
        <w:rPr>
          <w:rFonts w:hint="eastAsia" w:ascii="宋体" w:hAnsi="宋体" w:eastAsia="宋体" w:cs="宋体"/>
        </w:rPr>
        <w:t xml:space="preserve"> </w:t>
      </w:r>
      <w:r>
        <w:rPr>
          <w:rFonts w:hint="eastAsia" w:ascii="宋体" w:hAnsi="宋体" w:eastAsia="宋体" w:cs="宋体"/>
          <w:color w:val="333333"/>
          <w:szCs w:val="18"/>
          <w:shd w:val="clear" w:color="auto" w:fill="FFFFFF"/>
          <w:lang w:val="en-US" w:eastAsia="zh-CN"/>
        </w:rPr>
        <w:t>光栅设置在吹塑机出落料侧，与设备内部模具间距约48cm。</w:t>
      </w:r>
    </w:p>
  </w:footnote>
  <w:footnote w:id="2">
    <w:p w14:paraId="4E582739">
      <w:pPr>
        <w:pStyle w:val="6"/>
        <w:snapToGrid w:val="0"/>
        <w:rPr>
          <w:rFonts w:hint="eastAsia" w:ascii="宋体" w:hAnsi="宋体" w:eastAsia="宋体" w:cs="宋体"/>
          <w:lang w:val="en-US" w:eastAsia="zh-CN"/>
        </w:rPr>
      </w:pPr>
      <w:r>
        <w:rPr>
          <w:rStyle w:val="14"/>
          <w:rFonts w:hint="eastAsia" w:ascii="宋体" w:hAnsi="宋体" w:eastAsia="宋体" w:cs="宋体"/>
        </w:rPr>
        <w:t>[</w:t>
      </w:r>
      <w:r>
        <w:rPr>
          <w:rStyle w:val="14"/>
          <w:rFonts w:hint="eastAsia" w:ascii="宋体" w:hAnsi="宋体" w:eastAsia="宋体" w:cs="宋体"/>
        </w:rPr>
        <w:footnoteRef/>
      </w:r>
      <w:r>
        <w:rPr>
          <w:rStyle w:val="14"/>
          <w:rFonts w:hint="eastAsia" w:ascii="宋体" w:hAnsi="宋体" w:eastAsia="宋体" w:cs="宋体"/>
        </w:rPr>
        <w:t>]</w:t>
      </w:r>
      <w:r>
        <w:rPr>
          <w:rFonts w:hint="eastAsia" w:ascii="宋体" w:hAnsi="宋体" w:eastAsia="宋体" w:cs="宋体"/>
        </w:rPr>
        <w:t xml:space="preserve"> </w:t>
      </w:r>
      <w:r>
        <w:rPr>
          <w:rFonts w:hint="eastAsia" w:ascii="宋体" w:hAnsi="宋体" w:eastAsia="宋体" w:cs="宋体"/>
          <w:lang w:val="en-US" w:eastAsia="zh-CN"/>
        </w:rPr>
        <w:t>机器设定到多循环自动工作模式，就开始全自动运转，从射料、撑料、合模、吹气、开模、脱模、机械手夹料、出入料、夹料回等，完成一个工作循环、接着开始下一个循环。</w:t>
      </w:r>
    </w:p>
  </w:footnote>
  <w:footnote w:id="3">
    <w:p w14:paraId="46D2EF2C">
      <w:pPr>
        <w:pStyle w:val="6"/>
        <w:snapToGrid w:val="0"/>
        <w:rPr>
          <w:rFonts w:hint="eastAsia" w:ascii="宋体" w:hAnsi="宋体" w:eastAsia="宋体" w:cs="宋体"/>
        </w:rPr>
      </w:pPr>
      <w:r>
        <w:rPr>
          <w:rStyle w:val="14"/>
          <w:rFonts w:hint="eastAsia" w:ascii="宋体" w:hAnsi="宋体" w:eastAsia="宋体" w:cs="宋体"/>
        </w:rPr>
        <w:t>[</w:t>
      </w:r>
      <w:r>
        <w:rPr>
          <w:rStyle w:val="14"/>
          <w:rFonts w:hint="eastAsia" w:ascii="宋体" w:hAnsi="宋体" w:eastAsia="宋体" w:cs="宋体"/>
        </w:rPr>
        <w:footnoteRef/>
      </w:r>
      <w:r>
        <w:rPr>
          <w:rStyle w:val="14"/>
          <w:rFonts w:hint="eastAsia" w:ascii="宋体" w:hAnsi="宋体" w:eastAsia="宋体" w:cs="宋体"/>
        </w:rPr>
        <w:t>]</w:t>
      </w:r>
      <w:r>
        <w:rPr>
          <w:rFonts w:hint="eastAsia" w:ascii="宋体" w:hAnsi="宋体" w:eastAsia="宋体" w:cs="宋体"/>
        </w:rPr>
        <w:t xml:space="preserve"> 江西欢畅人力资源有限公司，统一社会信用代码：91360881MA39TA9B3A</w:t>
      </w:r>
    </w:p>
  </w:footnote>
  <w:footnote w:id="4">
    <w:p w14:paraId="78CC0131">
      <w:pPr>
        <w:pStyle w:val="6"/>
        <w:snapToGrid w:val="0"/>
        <w:rPr>
          <w:rFonts w:hint="eastAsia" w:ascii="宋体" w:hAnsi="宋体" w:eastAsia="宋体" w:cs="宋体"/>
        </w:rPr>
      </w:pPr>
      <w:r>
        <w:rPr>
          <w:rStyle w:val="14"/>
          <w:rFonts w:hint="eastAsia" w:ascii="宋体" w:hAnsi="宋体" w:eastAsia="宋体" w:cs="宋体"/>
        </w:rPr>
        <w:t>[</w:t>
      </w:r>
      <w:r>
        <w:rPr>
          <w:rStyle w:val="14"/>
          <w:rFonts w:hint="eastAsia" w:ascii="宋体" w:hAnsi="宋体" w:eastAsia="宋体" w:cs="宋体"/>
        </w:rPr>
        <w:footnoteRef/>
      </w:r>
      <w:r>
        <w:rPr>
          <w:rStyle w:val="14"/>
          <w:rFonts w:hint="eastAsia" w:ascii="宋体" w:hAnsi="宋体" w:eastAsia="宋体" w:cs="宋体"/>
        </w:rPr>
        <w:t>]</w:t>
      </w:r>
      <w:r>
        <w:rPr>
          <w:rFonts w:hint="eastAsia" w:ascii="宋体" w:hAnsi="宋体" w:eastAsia="宋体" w:cs="宋体"/>
        </w:rPr>
        <w:t xml:space="preserve"> 《中华</w:t>
      </w:r>
      <w:r>
        <w:rPr>
          <w:rFonts w:hint="eastAsia" w:ascii="宋体" w:hAnsi="宋体" w:eastAsia="宋体" w:cs="宋体"/>
          <w:lang w:val="en-US" w:eastAsia="zh-CN"/>
        </w:rPr>
        <w:t>人民</w:t>
      </w:r>
      <w:r>
        <w:rPr>
          <w:rFonts w:hint="eastAsia" w:ascii="宋体" w:hAnsi="宋体" w:eastAsia="宋体" w:cs="宋体"/>
        </w:rPr>
        <w:t>共和国安全生产法》第九十</w:t>
      </w:r>
      <w:r>
        <w:rPr>
          <w:rFonts w:hint="eastAsia" w:ascii="宋体" w:hAnsi="宋体" w:eastAsia="宋体" w:cs="宋体"/>
          <w:lang w:val="en-US" w:eastAsia="zh-CN"/>
        </w:rPr>
        <w:t>五</w:t>
      </w:r>
      <w:r>
        <w:rPr>
          <w:rFonts w:hint="eastAsia" w:ascii="宋体" w:hAnsi="宋体" w:eastAsia="宋体" w:cs="宋体"/>
        </w:rPr>
        <w:t>条</w:t>
      </w:r>
      <w:r>
        <w:rPr>
          <w:rFonts w:hint="eastAsia" w:ascii="宋体" w:hAnsi="宋体" w:eastAsia="宋体" w:cs="宋体"/>
          <w:lang w:eastAsia="zh-CN"/>
        </w:rPr>
        <w:t>“生产经营单位的主要负责人未履行本法规定的安全生产管理职责，导致发生生产安全事故的，由应急管理部门依照下列规定处以罚款：（一) 发生一般事故的，处上一年年收入</w:t>
      </w:r>
      <w:r>
        <w:rPr>
          <w:rFonts w:hint="eastAsia" w:ascii="宋体" w:hAnsi="宋体" w:eastAsia="宋体" w:cs="宋体"/>
          <w:lang w:val="en-US" w:eastAsia="zh-CN"/>
        </w:rPr>
        <w:t>40%</w:t>
      </w:r>
      <w:r>
        <w:rPr>
          <w:rFonts w:hint="eastAsia" w:ascii="宋体" w:hAnsi="宋体" w:eastAsia="宋体" w:cs="宋体"/>
          <w:lang w:eastAsia="zh-CN"/>
        </w:rPr>
        <w:t>的罚款……”</w:t>
      </w:r>
    </w:p>
  </w:footnote>
  <w:footnote w:id="5">
    <w:p w14:paraId="518CF90B">
      <w:pPr>
        <w:pStyle w:val="6"/>
        <w:snapToGrid w:val="0"/>
        <w:rPr>
          <w:rFonts w:hint="eastAsia" w:ascii="宋体" w:hAnsi="宋体" w:eastAsia="宋体" w:cs="宋体"/>
        </w:rPr>
      </w:pPr>
      <w:r>
        <w:rPr>
          <w:rStyle w:val="14"/>
          <w:rFonts w:hint="eastAsia" w:ascii="宋体" w:hAnsi="宋体" w:eastAsia="宋体" w:cs="宋体"/>
        </w:rPr>
        <w:t>[</w:t>
      </w:r>
      <w:r>
        <w:rPr>
          <w:rStyle w:val="14"/>
          <w:rFonts w:hint="eastAsia" w:ascii="宋体" w:hAnsi="宋体" w:eastAsia="宋体" w:cs="宋体"/>
        </w:rPr>
        <w:footnoteRef/>
      </w:r>
      <w:r>
        <w:rPr>
          <w:rStyle w:val="14"/>
          <w:rFonts w:hint="eastAsia" w:ascii="宋体" w:hAnsi="宋体" w:eastAsia="宋体" w:cs="宋体"/>
        </w:rPr>
        <w:t>]</w:t>
      </w:r>
      <w:r>
        <w:rPr>
          <w:rFonts w:hint="eastAsia" w:ascii="宋体" w:hAnsi="宋体" w:eastAsia="宋体" w:cs="宋体"/>
        </w:rPr>
        <w:t xml:space="preserve"> 《中华人民共和国安全生产法》第一百一十四条：</w:t>
      </w:r>
      <w:r>
        <w:rPr>
          <w:rFonts w:hint="eastAsia" w:ascii="宋体" w:hAnsi="宋体" w:eastAsia="宋体" w:cs="宋体"/>
          <w:lang w:eastAsia="zh-CN"/>
        </w:rPr>
        <w:t>“</w:t>
      </w:r>
      <w:r>
        <w:rPr>
          <w:rFonts w:hint="eastAsia" w:ascii="宋体" w:hAnsi="宋体" w:eastAsia="宋体" w:cs="宋体"/>
        </w:rPr>
        <w:t>发生生产安全事故，对负有责任的生产经营单位除要求其依法承担相应的赔偿等责任外，由应急管理部门依照下列规定处以罚款：（一）发生一般事故的，处三十万元以上一百万元以下的罚款；……</w:t>
      </w:r>
      <w:r>
        <w:rPr>
          <w:rFonts w:hint="eastAsia" w:ascii="宋体" w:hAnsi="宋体" w:eastAsia="宋体" w:cs="宋体"/>
          <w:lang w:eastAsia="zh-CN"/>
        </w:rPr>
        <w:t>”</w:t>
      </w:r>
    </w:p>
    <w:p w14:paraId="3320DBBD">
      <w:pPr>
        <w:pStyle w:val="6"/>
        <w:snapToGrid w:val="0"/>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footnotePr>
    <w:footnote w:id="12"/>
    <w:footnote w:id="13"/>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YzNjBkOTgyNWQ1YTMxYzM3MzMwNWFiODNmOWIzYWMifQ=="/>
  </w:docVars>
  <w:rsids>
    <w:rsidRoot w:val="12B961C9"/>
    <w:rsid w:val="00044A6B"/>
    <w:rsid w:val="00142F5C"/>
    <w:rsid w:val="005F34CD"/>
    <w:rsid w:val="00613BE6"/>
    <w:rsid w:val="00875E46"/>
    <w:rsid w:val="00B21E75"/>
    <w:rsid w:val="00CB059F"/>
    <w:rsid w:val="00F10117"/>
    <w:rsid w:val="02076BAD"/>
    <w:rsid w:val="02B81777"/>
    <w:rsid w:val="03987D09"/>
    <w:rsid w:val="04E01402"/>
    <w:rsid w:val="05872512"/>
    <w:rsid w:val="06F63227"/>
    <w:rsid w:val="0776428B"/>
    <w:rsid w:val="08075E9C"/>
    <w:rsid w:val="09D1582A"/>
    <w:rsid w:val="0A466107"/>
    <w:rsid w:val="0A62540F"/>
    <w:rsid w:val="0B542CC0"/>
    <w:rsid w:val="0B661144"/>
    <w:rsid w:val="0BE65DF4"/>
    <w:rsid w:val="0C16350E"/>
    <w:rsid w:val="0C4C456E"/>
    <w:rsid w:val="0D0A78C0"/>
    <w:rsid w:val="0D3E4652"/>
    <w:rsid w:val="0D6B7448"/>
    <w:rsid w:val="0E6F6786"/>
    <w:rsid w:val="0E791598"/>
    <w:rsid w:val="0EA22E3F"/>
    <w:rsid w:val="0FED0268"/>
    <w:rsid w:val="10212707"/>
    <w:rsid w:val="10B4070F"/>
    <w:rsid w:val="11FD5E74"/>
    <w:rsid w:val="12014947"/>
    <w:rsid w:val="12315385"/>
    <w:rsid w:val="12A3504B"/>
    <w:rsid w:val="12B85A3D"/>
    <w:rsid w:val="12B961C9"/>
    <w:rsid w:val="13397C61"/>
    <w:rsid w:val="14A306C5"/>
    <w:rsid w:val="14F55E1E"/>
    <w:rsid w:val="15B42303"/>
    <w:rsid w:val="15E47E62"/>
    <w:rsid w:val="160E3A72"/>
    <w:rsid w:val="16D44AE5"/>
    <w:rsid w:val="16D67675"/>
    <w:rsid w:val="16E723F1"/>
    <w:rsid w:val="17475425"/>
    <w:rsid w:val="17601230"/>
    <w:rsid w:val="185F3E34"/>
    <w:rsid w:val="187E223F"/>
    <w:rsid w:val="18F7519C"/>
    <w:rsid w:val="18FB2F5A"/>
    <w:rsid w:val="197139F3"/>
    <w:rsid w:val="19812B60"/>
    <w:rsid w:val="1991425E"/>
    <w:rsid w:val="199217E2"/>
    <w:rsid w:val="1A9F755D"/>
    <w:rsid w:val="1B1170AB"/>
    <w:rsid w:val="1BEE1FA3"/>
    <w:rsid w:val="1C4B5C2A"/>
    <w:rsid w:val="1C7D3F79"/>
    <w:rsid w:val="1D717880"/>
    <w:rsid w:val="1D8554E5"/>
    <w:rsid w:val="1DC75181"/>
    <w:rsid w:val="1DD91315"/>
    <w:rsid w:val="1E4251F4"/>
    <w:rsid w:val="1EB81CBD"/>
    <w:rsid w:val="1ED957FE"/>
    <w:rsid w:val="1EE84F14"/>
    <w:rsid w:val="1F0B3750"/>
    <w:rsid w:val="1F9625E1"/>
    <w:rsid w:val="208A4B48"/>
    <w:rsid w:val="20AC4ABE"/>
    <w:rsid w:val="20FA7F20"/>
    <w:rsid w:val="21416F7B"/>
    <w:rsid w:val="21601233"/>
    <w:rsid w:val="22521696"/>
    <w:rsid w:val="229D06B1"/>
    <w:rsid w:val="22AF3FF6"/>
    <w:rsid w:val="232A707C"/>
    <w:rsid w:val="236C5E61"/>
    <w:rsid w:val="23820C07"/>
    <w:rsid w:val="2449701B"/>
    <w:rsid w:val="251315B0"/>
    <w:rsid w:val="25714529"/>
    <w:rsid w:val="25CA2682"/>
    <w:rsid w:val="26234EB7"/>
    <w:rsid w:val="26404627"/>
    <w:rsid w:val="266C0B08"/>
    <w:rsid w:val="26872A22"/>
    <w:rsid w:val="27F41B74"/>
    <w:rsid w:val="285C18E6"/>
    <w:rsid w:val="288547BF"/>
    <w:rsid w:val="28A92F15"/>
    <w:rsid w:val="28E86EA3"/>
    <w:rsid w:val="28F455C4"/>
    <w:rsid w:val="290D24D7"/>
    <w:rsid w:val="292875F4"/>
    <w:rsid w:val="297E7696"/>
    <w:rsid w:val="29EA258D"/>
    <w:rsid w:val="2A3168FF"/>
    <w:rsid w:val="2A7E3E76"/>
    <w:rsid w:val="2BA03311"/>
    <w:rsid w:val="2C007918"/>
    <w:rsid w:val="2C390A41"/>
    <w:rsid w:val="2C596AF4"/>
    <w:rsid w:val="2C7C49EF"/>
    <w:rsid w:val="2C9C1E8B"/>
    <w:rsid w:val="2CAA691D"/>
    <w:rsid w:val="2CBC0E10"/>
    <w:rsid w:val="2D626B87"/>
    <w:rsid w:val="2DC31699"/>
    <w:rsid w:val="2DD13DB6"/>
    <w:rsid w:val="2FE46C3D"/>
    <w:rsid w:val="30991ECE"/>
    <w:rsid w:val="30BF083E"/>
    <w:rsid w:val="30D15ACC"/>
    <w:rsid w:val="31345A88"/>
    <w:rsid w:val="316D2048"/>
    <w:rsid w:val="31AF08B2"/>
    <w:rsid w:val="32317519"/>
    <w:rsid w:val="3249276E"/>
    <w:rsid w:val="328E2276"/>
    <w:rsid w:val="32981347"/>
    <w:rsid w:val="32A00E62"/>
    <w:rsid w:val="32AC1FB1"/>
    <w:rsid w:val="32FB5E4F"/>
    <w:rsid w:val="33166094"/>
    <w:rsid w:val="341B55A6"/>
    <w:rsid w:val="34330352"/>
    <w:rsid w:val="343C1B28"/>
    <w:rsid w:val="34D81ECE"/>
    <w:rsid w:val="35CA000D"/>
    <w:rsid w:val="35D01B4B"/>
    <w:rsid w:val="35D6427C"/>
    <w:rsid w:val="35E52A36"/>
    <w:rsid w:val="35F018F9"/>
    <w:rsid w:val="36374E98"/>
    <w:rsid w:val="369B31B3"/>
    <w:rsid w:val="36A8536A"/>
    <w:rsid w:val="3809239F"/>
    <w:rsid w:val="38F82C23"/>
    <w:rsid w:val="391C78D1"/>
    <w:rsid w:val="393B44F8"/>
    <w:rsid w:val="39B7532B"/>
    <w:rsid w:val="39F141A4"/>
    <w:rsid w:val="3A304090"/>
    <w:rsid w:val="3A3932B8"/>
    <w:rsid w:val="3A720AA3"/>
    <w:rsid w:val="3AEC0481"/>
    <w:rsid w:val="3AFC69CB"/>
    <w:rsid w:val="3C077675"/>
    <w:rsid w:val="3C574020"/>
    <w:rsid w:val="3D9C6E24"/>
    <w:rsid w:val="3DC37D1E"/>
    <w:rsid w:val="3DD516A1"/>
    <w:rsid w:val="3DDA348E"/>
    <w:rsid w:val="3DFF0DDF"/>
    <w:rsid w:val="3E84358E"/>
    <w:rsid w:val="3EE417EC"/>
    <w:rsid w:val="3F0D4A2B"/>
    <w:rsid w:val="3F6C5022"/>
    <w:rsid w:val="3FEF5645"/>
    <w:rsid w:val="41E07A3F"/>
    <w:rsid w:val="42693DED"/>
    <w:rsid w:val="42CA04B7"/>
    <w:rsid w:val="435A477A"/>
    <w:rsid w:val="4379634B"/>
    <w:rsid w:val="43FB1FD6"/>
    <w:rsid w:val="448C10D7"/>
    <w:rsid w:val="44D30B0A"/>
    <w:rsid w:val="452C2797"/>
    <w:rsid w:val="45650ADD"/>
    <w:rsid w:val="45D75468"/>
    <w:rsid w:val="45E70925"/>
    <w:rsid w:val="479B2322"/>
    <w:rsid w:val="47D23D51"/>
    <w:rsid w:val="486C2C02"/>
    <w:rsid w:val="48A30F9C"/>
    <w:rsid w:val="48BD50B1"/>
    <w:rsid w:val="49550C5F"/>
    <w:rsid w:val="4AB253A0"/>
    <w:rsid w:val="4AB60164"/>
    <w:rsid w:val="4B1164B6"/>
    <w:rsid w:val="4BDC6EAE"/>
    <w:rsid w:val="4C2004D2"/>
    <w:rsid w:val="4CB607DA"/>
    <w:rsid w:val="4CD162CF"/>
    <w:rsid w:val="4D6C489F"/>
    <w:rsid w:val="4D7D70C7"/>
    <w:rsid w:val="4E025B5D"/>
    <w:rsid w:val="4E7A2AB2"/>
    <w:rsid w:val="4F681AF1"/>
    <w:rsid w:val="4F83286C"/>
    <w:rsid w:val="4FCE41A2"/>
    <w:rsid w:val="50267B3A"/>
    <w:rsid w:val="505C2FF8"/>
    <w:rsid w:val="509F30C1"/>
    <w:rsid w:val="511A58F1"/>
    <w:rsid w:val="523B6D45"/>
    <w:rsid w:val="5290185C"/>
    <w:rsid w:val="52A81594"/>
    <w:rsid w:val="54121483"/>
    <w:rsid w:val="54D74CB2"/>
    <w:rsid w:val="55711857"/>
    <w:rsid w:val="559C63C1"/>
    <w:rsid w:val="563001AE"/>
    <w:rsid w:val="56435A00"/>
    <w:rsid w:val="56783191"/>
    <w:rsid w:val="56944256"/>
    <w:rsid w:val="56FD6C4D"/>
    <w:rsid w:val="575E7889"/>
    <w:rsid w:val="584A41AE"/>
    <w:rsid w:val="58732E5D"/>
    <w:rsid w:val="59916DFD"/>
    <w:rsid w:val="59B95B8B"/>
    <w:rsid w:val="59E21C1C"/>
    <w:rsid w:val="5AC77A0D"/>
    <w:rsid w:val="5B2029AF"/>
    <w:rsid w:val="5BBA6FF8"/>
    <w:rsid w:val="5BBF7B66"/>
    <w:rsid w:val="5BE54D4D"/>
    <w:rsid w:val="5CE54491"/>
    <w:rsid w:val="5D9F36AA"/>
    <w:rsid w:val="5DA54B0D"/>
    <w:rsid w:val="5E051472"/>
    <w:rsid w:val="5E165A3E"/>
    <w:rsid w:val="5E685499"/>
    <w:rsid w:val="5E6B4B76"/>
    <w:rsid w:val="5F3C686D"/>
    <w:rsid w:val="5F603436"/>
    <w:rsid w:val="5F982C4E"/>
    <w:rsid w:val="5FAE5456"/>
    <w:rsid w:val="60ED1593"/>
    <w:rsid w:val="61B2071C"/>
    <w:rsid w:val="61FA188C"/>
    <w:rsid w:val="623F2E8F"/>
    <w:rsid w:val="628506F0"/>
    <w:rsid w:val="634B3026"/>
    <w:rsid w:val="63505F35"/>
    <w:rsid w:val="636C0E66"/>
    <w:rsid w:val="637F77E6"/>
    <w:rsid w:val="638D1ED6"/>
    <w:rsid w:val="63F33057"/>
    <w:rsid w:val="63F65DDF"/>
    <w:rsid w:val="644D5133"/>
    <w:rsid w:val="64E86554"/>
    <w:rsid w:val="651E34F7"/>
    <w:rsid w:val="66384017"/>
    <w:rsid w:val="66977A47"/>
    <w:rsid w:val="681B672C"/>
    <w:rsid w:val="68884B4B"/>
    <w:rsid w:val="6A3C6480"/>
    <w:rsid w:val="6A7259FE"/>
    <w:rsid w:val="6BC74F07"/>
    <w:rsid w:val="6C2A40F5"/>
    <w:rsid w:val="6CB124BC"/>
    <w:rsid w:val="6D007FA5"/>
    <w:rsid w:val="6D045F2F"/>
    <w:rsid w:val="6DE74600"/>
    <w:rsid w:val="6EAE0DBF"/>
    <w:rsid w:val="6EE52698"/>
    <w:rsid w:val="6EF05265"/>
    <w:rsid w:val="6EF94940"/>
    <w:rsid w:val="6FA94C80"/>
    <w:rsid w:val="70195438"/>
    <w:rsid w:val="705160B5"/>
    <w:rsid w:val="70566CE4"/>
    <w:rsid w:val="70896B6D"/>
    <w:rsid w:val="715D720F"/>
    <w:rsid w:val="71E0249D"/>
    <w:rsid w:val="722661C2"/>
    <w:rsid w:val="72427849"/>
    <w:rsid w:val="72693B8A"/>
    <w:rsid w:val="7376359C"/>
    <w:rsid w:val="74844CFB"/>
    <w:rsid w:val="749649DF"/>
    <w:rsid w:val="74DA0D6F"/>
    <w:rsid w:val="75C95313"/>
    <w:rsid w:val="76821E07"/>
    <w:rsid w:val="76C00BDA"/>
    <w:rsid w:val="77416E84"/>
    <w:rsid w:val="77610BCA"/>
    <w:rsid w:val="77BC6142"/>
    <w:rsid w:val="77CA4157"/>
    <w:rsid w:val="780C5D54"/>
    <w:rsid w:val="78BD69DE"/>
    <w:rsid w:val="79395CE7"/>
    <w:rsid w:val="793E5753"/>
    <w:rsid w:val="794C13B1"/>
    <w:rsid w:val="79563B8F"/>
    <w:rsid w:val="795F1398"/>
    <w:rsid w:val="79D77E97"/>
    <w:rsid w:val="79D82729"/>
    <w:rsid w:val="7A6953C4"/>
    <w:rsid w:val="7AEC3EEC"/>
    <w:rsid w:val="7AF65D5E"/>
    <w:rsid w:val="7B096667"/>
    <w:rsid w:val="7B314417"/>
    <w:rsid w:val="7B62386D"/>
    <w:rsid w:val="7C3255AB"/>
    <w:rsid w:val="7C765821"/>
    <w:rsid w:val="7C920181"/>
    <w:rsid w:val="7C94028B"/>
    <w:rsid w:val="7CC508F9"/>
    <w:rsid w:val="7D2A660C"/>
    <w:rsid w:val="7D2B3B28"/>
    <w:rsid w:val="7D4F7E21"/>
    <w:rsid w:val="7D6427D1"/>
    <w:rsid w:val="7D693383"/>
    <w:rsid w:val="7D7653AD"/>
    <w:rsid w:val="7D98504D"/>
    <w:rsid w:val="7DDD7D69"/>
    <w:rsid w:val="7E492F4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1">
    <w:name w:val="Default Paragraph Font"/>
    <w:autoRedefine/>
    <w:semiHidden/>
    <w:unhideWhenUsed/>
    <w:qFormat/>
    <w:uiPriority w:val="1"/>
  </w:style>
  <w:style w:type="table" w:default="1" w:styleId="9">
    <w:name w:val="Normal Table"/>
    <w:autoRedefine/>
    <w:semiHidden/>
    <w:unhideWhenUsed/>
    <w:qFormat/>
    <w:uiPriority w:val="99"/>
    <w:tblPr>
      <w:tblCellMar>
        <w:top w:w="0" w:type="dxa"/>
        <w:left w:w="108" w:type="dxa"/>
        <w:bottom w:w="0" w:type="dxa"/>
        <w:right w:w="108" w:type="dxa"/>
      </w:tblCellMar>
    </w:tblPr>
  </w:style>
  <w:style w:type="paragraph" w:styleId="2">
    <w:name w:val="Balloon Text"/>
    <w:basedOn w:val="1"/>
    <w:link w:val="15"/>
    <w:autoRedefine/>
    <w:qFormat/>
    <w:uiPriority w:val="0"/>
    <w:rPr>
      <w:sz w:val="18"/>
      <w:szCs w:val="18"/>
    </w:rPr>
  </w:style>
  <w:style w:type="paragraph" w:styleId="3">
    <w:name w:val="footer"/>
    <w:basedOn w:val="1"/>
    <w:autoRedefine/>
    <w:qFormat/>
    <w:uiPriority w:val="0"/>
    <w:pPr>
      <w:tabs>
        <w:tab w:val="center" w:pos="4153"/>
        <w:tab w:val="right" w:pos="8306"/>
      </w:tabs>
      <w:snapToGrid w:val="0"/>
      <w:jc w:val="left"/>
    </w:pPr>
    <w:rPr>
      <w:sz w:val="18"/>
    </w:rPr>
  </w:style>
  <w:style w:type="paragraph" w:styleId="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toc 1"/>
    <w:basedOn w:val="1"/>
    <w:next w:val="1"/>
    <w:autoRedefine/>
    <w:qFormat/>
    <w:uiPriority w:val="0"/>
  </w:style>
  <w:style w:type="paragraph" w:styleId="6">
    <w:name w:val="footnote text"/>
    <w:basedOn w:val="1"/>
    <w:autoRedefine/>
    <w:qFormat/>
    <w:uiPriority w:val="0"/>
    <w:pPr>
      <w:snapToGrid w:val="0"/>
      <w:jc w:val="left"/>
    </w:pPr>
    <w:rPr>
      <w:sz w:val="18"/>
    </w:rPr>
  </w:style>
  <w:style w:type="paragraph" w:styleId="7">
    <w:name w:val="toc 2"/>
    <w:basedOn w:val="1"/>
    <w:next w:val="1"/>
    <w:autoRedefine/>
    <w:qFormat/>
    <w:uiPriority w:val="0"/>
    <w:pPr>
      <w:ind w:left="420" w:leftChars="200"/>
    </w:pPr>
  </w:style>
  <w:style w:type="paragraph" w:styleId="8">
    <w:name w:val="Normal (Web)"/>
    <w:basedOn w:val="1"/>
    <w:autoRedefine/>
    <w:qFormat/>
    <w:uiPriority w:val="0"/>
    <w:pPr>
      <w:spacing w:beforeAutospacing="1" w:afterAutospacing="1"/>
      <w:jc w:val="left"/>
    </w:pPr>
    <w:rPr>
      <w:rFonts w:cs="Times New Roman"/>
      <w:kern w:val="0"/>
      <w:sz w:val="24"/>
    </w:rPr>
  </w:style>
  <w:style w:type="table" w:styleId="10">
    <w:name w:val="Table Grid"/>
    <w:basedOn w:val="9"/>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Strong"/>
    <w:basedOn w:val="11"/>
    <w:autoRedefine/>
    <w:qFormat/>
    <w:uiPriority w:val="0"/>
    <w:rPr>
      <w:b/>
    </w:rPr>
  </w:style>
  <w:style w:type="character" w:styleId="13">
    <w:name w:val="Hyperlink"/>
    <w:basedOn w:val="11"/>
    <w:autoRedefine/>
    <w:qFormat/>
    <w:uiPriority w:val="0"/>
    <w:rPr>
      <w:color w:val="0000FF"/>
      <w:u w:val="single"/>
    </w:rPr>
  </w:style>
  <w:style w:type="character" w:styleId="14">
    <w:name w:val="footnote reference"/>
    <w:basedOn w:val="11"/>
    <w:autoRedefine/>
    <w:qFormat/>
    <w:uiPriority w:val="0"/>
    <w:rPr>
      <w:vertAlign w:val="superscript"/>
    </w:rPr>
  </w:style>
  <w:style w:type="character" w:customStyle="1" w:styleId="15">
    <w:name w:val="批注框文本 Char"/>
    <w:basedOn w:val="11"/>
    <w:link w:val="2"/>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4.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chemeClr val="lt1"/>
        </a:solidFill>
        <a:ln w="6350">
          <a:solidFill>
            <a:prstClr val="black"/>
          </a:solidFill>
        </a:ln>
      </a:spPr>
      <a:bodyPr rot="0" vertOverflow="overflow" horzOverflow="overflow" vert="horz" wrap="square" lIns="91440" tIns="45720" rIns="91440" bIns="45720" numCol="1" spcCol="0" rtlCol="0" fromWordArt="0" anchor="t" anchorCtr="0" forceAA="0" compatLnSpc="1">
        <a:noAutofit/>
      </a:bodyPr>
      <a:lstStyle/>
      <a:style>
        <a:lnRef idx="0">
          <a:schemeClr val="accent1"/>
        </a:lnRef>
        <a:fillRef idx="0">
          <a:schemeClr val="accent1"/>
        </a:fillRef>
        <a:effectRef idx="0">
          <a:schemeClr val="accent1"/>
        </a:effectRef>
        <a:fontRef idx="minor">
          <a:schemeClr val="dk1"/>
        </a:fontRef>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10</Pages>
  <Words>348</Words>
  <Characters>354</Characters>
  <Lines>36</Lines>
  <Paragraphs>10</Paragraphs>
  <TotalTime>1</TotalTime>
  <ScaleCrop>false</ScaleCrop>
  <LinksUpToDate>false</LinksUpToDate>
  <CharactersWithSpaces>410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2023-05-23T02:11:00Z</dcterms:created>
  <dc:creator>獨</dc:creator>
  <cp:lastModifiedBy>lxhh</cp:lastModifiedBy>
  <cp:lastPrinted>2025-07-08T07:04:00Z</cp:lastPrinted>
  <dcterms:modified xsi:type="dcterms:W3CDTF">2026-06-25T06:29:52Z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E07AA1A6EE714F978620BD9A6AE57441_13</vt:lpwstr>
  </property>
  <property fmtid="{D5CDD505-2E9C-101B-9397-08002B2CF9AE}" pid="4" name="KSOTemplateDocerSaveRecord">
    <vt:lpwstr>eyJoZGlkIjoiY2ZiNDA3MWEwNjA3ZGUyYTY5Y2I1MzAxOWRhYzg2NTIiLCJ1c2VySWQiOiIzMDYyMDIyODgifQ==</vt:lpwstr>
  </property>
</Properties>
</file>